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1F3" w:rsidRDefault="00A321F3" w:rsidP="00A321F3">
      <w:pPr>
        <w:pStyle w:val="Heading1"/>
        <w:spacing w:before="0"/>
      </w:pPr>
      <w:r>
        <w:t xml:space="preserve">Community engagement action plan 2020-2024 </w:t>
      </w:r>
    </w:p>
    <w:p w:rsidR="00A321F3" w:rsidRPr="00166B30" w:rsidRDefault="00A321F3" w:rsidP="00A321F3"/>
    <w:p w:rsidR="00A321F3" w:rsidRDefault="00A321F3" w:rsidP="00A321F3">
      <w:pPr>
        <w:pStyle w:val="Heading2"/>
        <w:numPr>
          <w:ilvl w:val="0"/>
          <w:numId w:val="38"/>
        </w:numPr>
      </w:pPr>
      <w:r>
        <w:t>TRANSPARENT AND CONSISTENT</w:t>
      </w:r>
    </w:p>
    <w:p w:rsidR="00A321F3" w:rsidRPr="00166B30" w:rsidRDefault="00A321F3" w:rsidP="00A321F3">
      <w:pPr>
        <w:pStyle w:val="Introtext"/>
      </w:pPr>
      <w:r w:rsidRPr="00166B30">
        <w:rPr>
          <w:sz w:val="24"/>
        </w:rPr>
        <w:t>We clearly communicate the scope of the decision</w:t>
      </w:r>
      <w:r>
        <w:rPr>
          <w:sz w:val="24"/>
        </w:rPr>
        <w:t xml:space="preserve">, as well as </w:t>
      </w:r>
      <w:r w:rsidRPr="00166B30">
        <w:rPr>
          <w:sz w:val="24"/>
        </w:rPr>
        <w:t>the community’s role</w:t>
      </w:r>
      <w:r>
        <w:rPr>
          <w:sz w:val="24"/>
        </w:rPr>
        <w:t xml:space="preserve">, </w:t>
      </w:r>
      <w:r w:rsidRPr="00166B30">
        <w:rPr>
          <w:sz w:val="24"/>
        </w:rPr>
        <w:t xml:space="preserve">level of influence in the process and </w:t>
      </w:r>
      <w:r>
        <w:rPr>
          <w:sz w:val="24"/>
        </w:rPr>
        <w:t xml:space="preserve">the </w:t>
      </w:r>
      <w:r w:rsidRPr="00166B30">
        <w:rPr>
          <w:sz w:val="24"/>
        </w:rPr>
        <w:t>outcomes or future actions arising from the engagement. We are consistent in our approach so the community knows what standards to expect.</w:t>
      </w:r>
    </w:p>
    <w:tbl>
      <w:tblPr>
        <w:tblStyle w:val="TableGrid"/>
        <w:tblW w:w="0" w:type="auto"/>
        <w:tblLook w:val="04A0" w:firstRow="1" w:lastRow="0" w:firstColumn="1" w:lastColumn="0" w:noHBand="0" w:noVBand="1"/>
      </w:tblPr>
      <w:tblGrid>
        <w:gridCol w:w="3969"/>
        <w:gridCol w:w="2457"/>
        <w:gridCol w:w="3213"/>
      </w:tblGrid>
      <w:tr w:rsidR="00A321F3" w:rsidTr="00EC6305">
        <w:trPr>
          <w:cnfStyle w:val="100000000000" w:firstRow="1" w:lastRow="0" w:firstColumn="0" w:lastColumn="0" w:oddVBand="0" w:evenVBand="0" w:oddHBand="0" w:evenHBand="0" w:firstRowFirstColumn="0" w:firstRowLastColumn="0" w:lastRowFirstColumn="0" w:lastRowLastColumn="0"/>
        </w:trPr>
        <w:tc>
          <w:tcPr>
            <w:tcW w:w="3969" w:type="dxa"/>
          </w:tcPr>
          <w:p w:rsidR="00A321F3" w:rsidRPr="00166B30" w:rsidRDefault="00A321F3" w:rsidP="00EC6305">
            <w:pPr>
              <w:rPr>
                <w:highlight w:val="yellow"/>
              </w:rPr>
            </w:pPr>
            <w:r w:rsidRPr="00166B30">
              <w:rPr>
                <w:sz w:val="24"/>
              </w:rPr>
              <w:t xml:space="preserve">Action </w:t>
            </w:r>
          </w:p>
        </w:tc>
        <w:tc>
          <w:tcPr>
            <w:tcW w:w="2457" w:type="dxa"/>
          </w:tcPr>
          <w:p w:rsidR="00A321F3" w:rsidRPr="00166B30" w:rsidRDefault="00A321F3" w:rsidP="00EC6305">
            <w:pPr>
              <w:rPr>
                <w:sz w:val="24"/>
              </w:rPr>
            </w:pPr>
            <w:r w:rsidRPr="00166B30">
              <w:rPr>
                <w:sz w:val="24"/>
              </w:rPr>
              <w:t>Timing</w:t>
            </w:r>
          </w:p>
          <w:p w:rsidR="00A321F3" w:rsidRPr="00166B30" w:rsidRDefault="00A321F3" w:rsidP="00EC6305">
            <w:r w:rsidRPr="00166B30">
              <w:t>Short = Years 1&amp;2</w:t>
            </w:r>
          </w:p>
          <w:p w:rsidR="00A321F3" w:rsidRPr="00166B30" w:rsidRDefault="00A321F3" w:rsidP="00EC6305">
            <w:r w:rsidRPr="00166B30">
              <w:t>Medium = Years 2&amp;3</w:t>
            </w:r>
          </w:p>
          <w:p w:rsidR="00A321F3" w:rsidRDefault="00A321F3" w:rsidP="00EC6305">
            <w:pPr>
              <w:rPr>
                <w:highlight w:val="yellow"/>
              </w:rPr>
            </w:pPr>
            <w:r w:rsidRPr="00166B30">
              <w:t>Long = Years 3&amp;4</w:t>
            </w:r>
          </w:p>
        </w:tc>
        <w:tc>
          <w:tcPr>
            <w:tcW w:w="3213" w:type="dxa"/>
          </w:tcPr>
          <w:p w:rsidR="00A321F3" w:rsidRDefault="00A321F3" w:rsidP="00EC6305">
            <w:pPr>
              <w:rPr>
                <w:highlight w:val="yellow"/>
              </w:rPr>
            </w:pPr>
            <w:r w:rsidRPr="00166B30">
              <w:rPr>
                <w:sz w:val="24"/>
              </w:rPr>
              <w:t xml:space="preserve">Measure </w:t>
            </w:r>
          </w:p>
        </w:tc>
      </w:tr>
      <w:tr w:rsidR="00A321F3" w:rsidTr="00EC6305">
        <w:tc>
          <w:tcPr>
            <w:tcW w:w="3969" w:type="dxa"/>
          </w:tcPr>
          <w:p w:rsidR="00A321F3" w:rsidRDefault="00A321F3" w:rsidP="00EC6305">
            <w:r>
              <w:t xml:space="preserve">1.1 Support consistent compliance with best-practice and statutory frameworks by developing and implementing engagement resources, including a process guide and planning and evaluation templates. </w:t>
            </w:r>
          </w:p>
          <w:p w:rsidR="00A321F3" w:rsidRDefault="00A321F3" w:rsidP="00EC6305">
            <w:pPr>
              <w:rPr>
                <w:highlight w:val="yellow"/>
              </w:rPr>
            </w:pPr>
          </w:p>
        </w:tc>
        <w:tc>
          <w:tcPr>
            <w:tcW w:w="2457" w:type="dxa"/>
          </w:tcPr>
          <w:p w:rsidR="00A321F3" w:rsidRDefault="00A321F3" w:rsidP="00EC6305">
            <w:pPr>
              <w:rPr>
                <w:highlight w:val="yellow"/>
              </w:rPr>
            </w:pPr>
            <w:r>
              <w:t xml:space="preserve">Short </w:t>
            </w:r>
          </w:p>
        </w:tc>
        <w:tc>
          <w:tcPr>
            <w:tcW w:w="3213" w:type="dxa"/>
          </w:tcPr>
          <w:p w:rsidR="00A321F3" w:rsidRDefault="00A321F3" w:rsidP="00EC6305">
            <w:pPr>
              <w:rPr>
                <w:highlight w:val="yellow"/>
              </w:rPr>
            </w:pPr>
            <w:r>
              <w:t xml:space="preserve">Community Engagement Process Guide and planning and evaluation templates are launched, available to staff on the intranet and used consistently.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r>
              <w:t xml:space="preserve">1.2 Develop a training model and build staff capacity to ensure best practice standards are consistently adhered to across the organisation. </w:t>
            </w:r>
          </w:p>
          <w:p w:rsidR="00A321F3" w:rsidRDefault="00A321F3" w:rsidP="00EC6305">
            <w:pPr>
              <w:rPr>
                <w:highlight w:val="yellow"/>
              </w:rPr>
            </w:pPr>
          </w:p>
        </w:tc>
        <w:tc>
          <w:tcPr>
            <w:tcW w:w="2457" w:type="dxa"/>
          </w:tcPr>
          <w:p w:rsidR="00A321F3" w:rsidRDefault="00A321F3" w:rsidP="00EC6305">
            <w:pPr>
              <w:rPr>
                <w:highlight w:val="yellow"/>
              </w:rPr>
            </w:pPr>
            <w:r>
              <w:t xml:space="preserve">Medium, long </w:t>
            </w:r>
          </w:p>
        </w:tc>
        <w:tc>
          <w:tcPr>
            <w:tcW w:w="3213" w:type="dxa"/>
          </w:tcPr>
          <w:p w:rsidR="00A321F3" w:rsidRDefault="00A321F3" w:rsidP="00EC6305">
            <w:r>
              <w:t xml:space="preserve">Engagement training and capacity building is developed and implemented, including online and in-person training opportunities.  </w:t>
            </w:r>
          </w:p>
          <w:p w:rsidR="00A321F3" w:rsidRDefault="00A321F3" w:rsidP="00EC6305">
            <w:pPr>
              <w:rPr>
                <w:highlight w:val="yellow"/>
              </w:rPr>
            </w:pPr>
          </w:p>
        </w:tc>
      </w:tr>
      <w:tr w:rsidR="00A321F3" w:rsidTr="00EC6305">
        <w:tc>
          <w:tcPr>
            <w:tcW w:w="3969" w:type="dxa"/>
          </w:tcPr>
          <w:p w:rsidR="00A321F3" w:rsidRDefault="00A321F3" w:rsidP="00EC6305">
            <w:pPr>
              <w:rPr>
                <w:highlight w:val="yellow"/>
              </w:rPr>
            </w:pPr>
            <w:r>
              <w:t xml:space="preserve">1.3 Support managers across the organisation to lead teams that meet Yarra’s community engagement principles and standards.  </w:t>
            </w:r>
          </w:p>
        </w:tc>
        <w:tc>
          <w:tcPr>
            <w:tcW w:w="2457" w:type="dxa"/>
          </w:tcPr>
          <w:p w:rsidR="00A321F3" w:rsidRDefault="00A321F3" w:rsidP="00EC6305">
            <w:pPr>
              <w:rPr>
                <w:highlight w:val="yellow"/>
              </w:rPr>
            </w:pPr>
            <w:r>
              <w:t>Short</w:t>
            </w:r>
          </w:p>
        </w:tc>
        <w:tc>
          <w:tcPr>
            <w:tcW w:w="3213" w:type="dxa"/>
          </w:tcPr>
          <w:p w:rsidR="00A321F3" w:rsidRDefault="00A321F3" w:rsidP="00EC6305">
            <w:pPr>
              <w:rPr>
                <w:highlight w:val="yellow"/>
              </w:rPr>
            </w:pPr>
            <w:r>
              <w:t>Community engagement process overview is included in the Managers Induction Manual.</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Pr="00340370" w:rsidRDefault="00A321F3" w:rsidP="00EC6305">
            <w:r>
              <w:t xml:space="preserve">1.4 Investigate opportunities to embed Community Engagement within Yarra’s budgeting, planning processes and/or project management frameworks. </w:t>
            </w:r>
          </w:p>
          <w:p w:rsidR="00A321F3" w:rsidRDefault="00A321F3" w:rsidP="00EC6305">
            <w:pPr>
              <w:rPr>
                <w:highlight w:val="yellow"/>
              </w:rPr>
            </w:pPr>
          </w:p>
        </w:tc>
        <w:tc>
          <w:tcPr>
            <w:tcW w:w="2457" w:type="dxa"/>
          </w:tcPr>
          <w:p w:rsidR="00A321F3" w:rsidRDefault="00A321F3" w:rsidP="00EC6305">
            <w:pPr>
              <w:rPr>
                <w:highlight w:val="yellow"/>
              </w:rPr>
            </w:pPr>
            <w:r w:rsidRPr="00340370">
              <w:t xml:space="preserve"> Medium</w:t>
            </w:r>
            <w:r>
              <w:t>, Long</w:t>
            </w:r>
            <w:r w:rsidRPr="00340370">
              <w:t xml:space="preserve"> </w:t>
            </w:r>
          </w:p>
        </w:tc>
        <w:tc>
          <w:tcPr>
            <w:tcW w:w="3213" w:type="dxa"/>
          </w:tcPr>
          <w:p w:rsidR="00A321F3" w:rsidRDefault="00A321F3" w:rsidP="00EC6305">
            <w:pPr>
              <w:rPr>
                <w:highlight w:val="yellow"/>
              </w:rPr>
            </w:pPr>
            <w:r>
              <w:t xml:space="preserve">The appropriate process or framework has an embedded community engagement component. </w:t>
            </w:r>
          </w:p>
        </w:tc>
      </w:tr>
      <w:tr w:rsidR="00A321F3" w:rsidTr="00EC6305">
        <w:tc>
          <w:tcPr>
            <w:tcW w:w="3969" w:type="dxa"/>
          </w:tcPr>
          <w:p w:rsidR="00A321F3" w:rsidRDefault="00A321F3" w:rsidP="00EC6305">
            <w:pPr>
              <w:rPr>
                <w:highlight w:val="yellow"/>
              </w:rPr>
            </w:pPr>
            <w:r>
              <w:t xml:space="preserve">1.5 Ensure participants in community engagement projects are kept informed of the outcomes and/or any future stages they should expect to see in the process.  </w:t>
            </w:r>
          </w:p>
        </w:tc>
        <w:tc>
          <w:tcPr>
            <w:tcW w:w="2457" w:type="dxa"/>
          </w:tcPr>
          <w:p w:rsidR="00A321F3" w:rsidRDefault="00A321F3" w:rsidP="00EC6305">
            <w:pPr>
              <w:rPr>
                <w:highlight w:val="yellow"/>
              </w:rPr>
            </w:pPr>
            <w:r>
              <w:t>Short, ongoing</w:t>
            </w:r>
          </w:p>
        </w:tc>
        <w:tc>
          <w:tcPr>
            <w:tcW w:w="3213" w:type="dxa"/>
          </w:tcPr>
          <w:p w:rsidR="00A321F3" w:rsidRDefault="00A321F3" w:rsidP="00EC6305">
            <w:pPr>
              <w:rPr>
                <w:highlight w:val="yellow"/>
              </w:rPr>
            </w:pPr>
            <w:r>
              <w:t xml:space="preserve">Reporting back model and procedure is included in Community Engagement Process Guide and planning and evaluation templates and a </w:t>
            </w:r>
            <w:r>
              <w:lastRenderedPageBreak/>
              <w:t xml:space="preserve">consistent model of reporting back to the community is reflected on the Your Say Yarra Website.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r>
              <w:lastRenderedPageBreak/>
              <w:t>1.6 Ensure Yarra can undertake best practice deliberative engagement.</w:t>
            </w:r>
          </w:p>
          <w:p w:rsidR="00A321F3" w:rsidRDefault="00A321F3" w:rsidP="00EC6305">
            <w:pPr>
              <w:rPr>
                <w:highlight w:val="yellow"/>
              </w:rPr>
            </w:pPr>
          </w:p>
        </w:tc>
        <w:tc>
          <w:tcPr>
            <w:tcW w:w="2457" w:type="dxa"/>
          </w:tcPr>
          <w:p w:rsidR="00A321F3" w:rsidRDefault="00A321F3" w:rsidP="00EC6305">
            <w:pPr>
              <w:rPr>
                <w:highlight w:val="yellow"/>
              </w:rPr>
            </w:pPr>
            <w:r>
              <w:t xml:space="preserve">Medium </w:t>
            </w:r>
          </w:p>
        </w:tc>
        <w:tc>
          <w:tcPr>
            <w:tcW w:w="3213" w:type="dxa"/>
          </w:tcPr>
          <w:p w:rsidR="00A321F3" w:rsidRDefault="00A321F3" w:rsidP="00EC6305">
            <w:r>
              <w:t>A resource guide on deliberative engagement practice is developed and communicated.</w:t>
            </w:r>
          </w:p>
          <w:p w:rsidR="00A321F3" w:rsidRDefault="00A321F3" w:rsidP="00EC6305"/>
          <w:p w:rsidR="00A321F3" w:rsidRDefault="00A321F3" w:rsidP="00EC6305">
            <w:pPr>
              <w:rPr>
                <w:highlight w:val="yellow"/>
              </w:rPr>
            </w:pPr>
            <w:r>
              <w:t>A register of independent engagement facilitators and specialists is developed and communicated.</w:t>
            </w:r>
          </w:p>
        </w:tc>
      </w:tr>
      <w:tr w:rsidR="00A321F3" w:rsidTr="00EC6305">
        <w:tc>
          <w:tcPr>
            <w:tcW w:w="3969" w:type="dxa"/>
          </w:tcPr>
          <w:p w:rsidR="00A321F3" w:rsidRDefault="00A321F3" w:rsidP="00EC6305">
            <w:r>
              <w:t xml:space="preserve">1.7 Promote online engagement opportunities through the Your Say Yarra website and encourage greater participation. </w:t>
            </w:r>
          </w:p>
          <w:p w:rsidR="00A321F3" w:rsidRDefault="00A321F3" w:rsidP="00EC6305">
            <w:pPr>
              <w:rPr>
                <w:highlight w:val="yellow"/>
              </w:rPr>
            </w:pPr>
          </w:p>
        </w:tc>
        <w:tc>
          <w:tcPr>
            <w:tcW w:w="2457" w:type="dxa"/>
          </w:tcPr>
          <w:p w:rsidR="00A321F3" w:rsidRDefault="00A321F3" w:rsidP="00EC6305">
            <w:r>
              <w:t xml:space="preserve">Ongoing </w:t>
            </w:r>
          </w:p>
          <w:p w:rsidR="00A321F3" w:rsidRDefault="00A321F3" w:rsidP="00EC6305">
            <w:pPr>
              <w:rPr>
                <w:highlight w:val="yellow"/>
              </w:rPr>
            </w:pPr>
          </w:p>
        </w:tc>
        <w:tc>
          <w:tcPr>
            <w:tcW w:w="3213" w:type="dxa"/>
          </w:tcPr>
          <w:p w:rsidR="00A321F3" w:rsidRDefault="00A321F3" w:rsidP="00EC6305">
            <w:pPr>
              <w:rPr>
                <w:highlight w:val="yellow"/>
              </w:rPr>
            </w:pPr>
            <w:r>
              <w:t>The number of people participating in Your Say Yarra platform increases annually.</w:t>
            </w:r>
          </w:p>
        </w:tc>
      </w:tr>
    </w:tbl>
    <w:p w:rsidR="00A321F3" w:rsidRDefault="00A321F3" w:rsidP="00A321F3">
      <w:pPr>
        <w:rPr>
          <w:highlight w:val="yellow"/>
        </w:rPr>
      </w:pPr>
    </w:p>
    <w:p w:rsidR="00A321F3" w:rsidRPr="00166B30" w:rsidRDefault="00A321F3" w:rsidP="00A321F3">
      <w:pPr>
        <w:pStyle w:val="Heading2"/>
        <w:numPr>
          <w:ilvl w:val="0"/>
          <w:numId w:val="38"/>
        </w:numPr>
      </w:pPr>
      <w:r w:rsidRPr="00166B30">
        <w:t xml:space="preserve">REPRESENTATIVE AND INCLUSIVE </w:t>
      </w:r>
    </w:p>
    <w:p w:rsidR="00A321F3" w:rsidRPr="008D66D4" w:rsidRDefault="00A321F3" w:rsidP="00A321F3">
      <w:pPr>
        <w:pStyle w:val="Introtext"/>
      </w:pPr>
      <w:r w:rsidRPr="008D66D4">
        <w:t xml:space="preserve">We </w:t>
      </w:r>
      <w:r>
        <w:t>routinely refresh our understanding of our community in order to</w:t>
      </w:r>
      <w:r w:rsidRPr="008D66D4">
        <w:t xml:space="preserve"> actively reach out to those who are impacted, affected and/or interested in Council decisions. We use methods that ensure access </w:t>
      </w:r>
      <w:r>
        <w:t xml:space="preserve">equality </w:t>
      </w:r>
      <w:r w:rsidRPr="008D66D4">
        <w:t xml:space="preserve">and adapt our approach </w:t>
      </w:r>
      <w:r>
        <w:t>to support</w:t>
      </w:r>
      <w:r w:rsidRPr="008D66D4">
        <w:t xml:space="preserve"> inclusive</w:t>
      </w:r>
      <w:r>
        <w:t xml:space="preserve"> engagement</w:t>
      </w:r>
      <w:r w:rsidRPr="008D66D4">
        <w:t>.</w:t>
      </w:r>
    </w:p>
    <w:tbl>
      <w:tblPr>
        <w:tblStyle w:val="TableGrid"/>
        <w:tblW w:w="0" w:type="auto"/>
        <w:tblLook w:val="04A0" w:firstRow="1" w:lastRow="0" w:firstColumn="1" w:lastColumn="0" w:noHBand="0" w:noVBand="1"/>
      </w:tblPr>
      <w:tblGrid>
        <w:gridCol w:w="3969"/>
        <w:gridCol w:w="2457"/>
        <w:gridCol w:w="3213"/>
      </w:tblGrid>
      <w:tr w:rsidR="00A321F3" w:rsidRPr="007D69DA" w:rsidTr="00EC6305">
        <w:trPr>
          <w:cnfStyle w:val="100000000000" w:firstRow="1" w:lastRow="0" w:firstColumn="0" w:lastColumn="0" w:oddVBand="0" w:evenVBand="0" w:oddHBand="0" w:evenHBand="0" w:firstRowFirstColumn="0" w:firstRowLastColumn="0" w:lastRowFirstColumn="0" w:lastRowLastColumn="0"/>
        </w:trPr>
        <w:tc>
          <w:tcPr>
            <w:tcW w:w="3969" w:type="dxa"/>
          </w:tcPr>
          <w:p w:rsidR="00A321F3" w:rsidRPr="007D69DA" w:rsidRDefault="00A321F3" w:rsidP="00EC6305">
            <w:pPr>
              <w:rPr>
                <w:sz w:val="24"/>
              </w:rPr>
            </w:pPr>
            <w:r w:rsidRPr="007D69DA">
              <w:rPr>
                <w:sz w:val="24"/>
              </w:rPr>
              <w:t xml:space="preserve">Action </w:t>
            </w:r>
          </w:p>
        </w:tc>
        <w:tc>
          <w:tcPr>
            <w:tcW w:w="2457" w:type="dxa"/>
          </w:tcPr>
          <w:p w:rsidR="00A321F3" w:rsidRPr="007D69DA" w:rsidRDefault="00A321F3" w:rsidP="00EC6305">
            <w:pPr>
              <w:rPr>
                <w:sz w:val="24"/>
              </w:rPr>
            </w:pPr>
            <w:r w:rsidRPr="007D69DA">
              <w:rPr>
                <w:sz w:val="24"/>
              </w:rPr>
              <w:t>Timing</w:t>
            </w:r>
          </w:p>
        </w:tc>
        <w:tc>
          <w:tcPr>
            <w:tcW w:w="3213" w:type="dxa"/>
          </w:tcPr>
          <w:p w:rsidR="00A321F3" w:rsidRPr="007D69DA" w:rsidRDefault="00A321F3" w:rsidP="00EC6305">
            <w:pPr>
              <w:rPr>
                <w:sz w:val="24"/>
              </w:rPr>
            </w:pPr>
            <w:r w:rsidRPr="007D69DA">
              <w:rPr>
                <w:sz w:val="24"/>
              </w:rPr>
              <w:t>Measure</w:t>
            </w:r>
          </w:p>
        </w:tc>
      </w:tr>
      <w:tr w:rsidR="00A321F3" w:rsidTr="00EC6305">
        <w:tc>
          <w:tcPr>
            <w:tcW w:w="3969" w:type="dxa"/>
          </w:tcPr>
          <w:p w:rsidR="00A321F3" w:rsidRDefault="00A321F3" w:rsidP="00EC6305">
            <w:r>
              <w:t xml:space="preserve">2.1 Embed robust stakeholder identification within our community engagement planning and evaluation processes to support representative and inclusive engagement. </w:t>
            </w:r>
          </w:p>
          <w:p w:rsidR="00A321F3" w:rsidRDefault="00A321F3" w:rsidP="00EC6305">
            <w:pPr>
              <w:rPr>
                <w:highlight w:val="yellow"/>
              </w:rPr>
            </w:pPr>
          </w:p>
        </w:tc>
        <w:tc>
          <w:tcPr>
            <w:tcW w:w="2457" w:type="dxa"/>
          </w:tcPr>
          <w:p w:rsidR="00A321F3" w:rsidRDefault="00A321F3" w:rsidP="00EC6305">
            <w:pPr>
              <w:rPr>
                <w:highlight w:val="yellow"/>
              </w:rPr>
            </w:pPr>
            <w:r>
              <w:t xml:space="preserve">Short </w:t>
            </w:r>
          </w:p>
        </w:tc>
        <w:tc>
          <w:tcPr>
            <w:tcW w:w="3213" w:type="dxa"/>
          </w:tcPr>
          <w:p w:rsidR="00A321F3" w:rsidRDefault="00A321F3" w:rsidP="00EC6305">
            <w:pPr>
              <w:rPr>
                <w:highlight w:val="yellow"/>
              </w:rPr>
            </w:pPr>
            <w:r>
              <w:t xml:space="preserve">Stakeholder mapping process embedded in our process guide and templates.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pPr>
              <w:rPr>
                <w:highlight w:val="yellow"/>
              </w:rPr>
            </w:pPr>
            <w:r>
              <w:t xml:space="preserve">2.2 Ensure communication materials used for community engagement are written in plain English and use accessible formats. </w:t>
            </w:r>
          </w:p>
        </w:tc>
        <w:tc>
          <w:tcPr>
            <w:tcW w:w="2457" w:type="dxa"/>
          </w:tcPr>
          <w:p w:rsidR="00A321F3" w:rsidRDefault="00A321F3" w:rsidP="00EC6305">
            <w:pPr>
              <w:rPr>
                <w:highlight w:val="yellow"/>
              </w:rPr>
            </w:pPr>
            <w:r>
              <w:t xml:space="preserve">Short to medium, ongoing </w:t>
            </w:r>
          </w:p>
        </w:tc>
        <w:tc>
          <w:tcPr>
            <w:tcW w:w="3213" w:type="dxa"/>
          </w:tcPr>
          <w:p w:rsidR="00A321F3" w:rsidRDefault="00A321F3" w:rsidP="00EC6305">
            <w:pPr>
              <w:rPr>
                <w:highlight w:val="yellow"/>
              </w:rPr>
            </w:pPr>
            <w:r w:rsidRPr="00535EB1">
              <w:t xml:space="preserve">All engagement materials comply with Yarra’s Accessible Communications Guidelines. </w:t>
            </w:r>
          </w:p>
        </w:tc>
      </w:tr>
      <w:tr w:rsidR="00A321F3" w:rsidTr="00EC6305">
        <w:tc>
          <w:tcPr>
            <w:tcW w:w="3969" w:type="dxa"/>
          </w:tcPr>
          <w:p w:rsidR="00A321F3" w:rsidRDefault="00A321F3" w:rsidP="00EC6305">
            <w:r>
              <w:t xml:space="preserve">2.3 Embed best-practice principles in the process of engaging with groups that </w:t>
            </w:r>
            <w:r>
              <w:lastRenderedPageBreak/>
              <w:t xml:space="preserve">might be at risk of underrepresentation including: people with a disability, older people, children and young people, people from different cultural or linguist backgrounds, Aboriginal and Torres Strait Islander people and renters. </w:t>
            </w:r>
          </w:p>
          <w:p w:rsidR="00A321F3" w:rsidRDefault="00A321F3" w:rsidP="00EC6305"/>
          <w:p w:rsidR="00A321F3" w:rsidRDefault="00A321F3" w:rsidP="00EC6305">
            <w:pPr>
              <w:rPr>
                <w:highlight w:val="yellow"/>
              </w:rPr>
            </w:pPr>
          </w:p>
        </w:tc>
        <w:tc>
          <w:tcPr>
            <w:tcW w:w="2457" w:type="dxa"/>
          </w:tcPr>
          <w:p w:rsidR="00A321F3" w:rsidRDefault="00A321F3" w:rsidP="00EC6305">
            <w:pPr>
              <w:rPr>
                <w:highlight w:val="yellow"/>
              </w:rPr>
            </w:pPr>
            <w:r>
              <w:lastRenderedPageBreak/>
              <w:t>Short</w:t>
            </w:r>
          </w:p>
        </w:tc>
        <w:tc>
          <w:tcPr>
            <w:tcW w:w="3213" w:type="dxa"/>
          </w:tcPr>
          <w:p w:rsidR="00A321F3" w:rsidRDefault="00A321F3" w:rsidP="00EC6305">
            <w:pPr>
              <w:rPr>
                <w:highlight w:val="yellow"/>
              </w:rPr>
            </w:pPr>
            <w:r>
              <w:t xml:space="preserve">The Community Engagement Process Guide includes best </w:t>
            </w:r>
            <w:r>
              <w:lastRenderedPageBreak/>
              <w:t xml:space="preserve">practice principles to engage with groups at risk of underrepresentation.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pPr>
              <w:rPr>
                <w:highlight w:val="yellow"/>
              </w:rPr>
            </w:pPr>
            <w:r>
              <w:lastRenderedPageBreak/>
              <w:t xml:space="preserve">2.4 Continue to trial creative and age-appropriate approaches to deliver meaningful engagement with children and young people. </w:t>
            </w:r>
          </w:p>
        </w:tc>
        <w:tc>
          <w:tcPr>
            <w:tcW w:w="2457" w:type="dxa"/>
          </w:tcPr>
          <w:p w:rsidR="00A321F3" w:rsidRDefault="00A321F3" w:rsidP="00EC6305">
            <w:pPr>
              <w:rPr>
                <w:highlight w:val="yellow"/>
              </w:rPr>
            </w:pPr>
            <w:r>
              <w:t>Short, medium</w:t>
            </w:r>
          </w:p>
        </w:tc>
        <w:tc>
          <w:tcPr>
            <w:tcW w:w="3213" w:type="dxa"/>
          </w:tcPr>
          <w:p w:rsidR="00A321F3" w:rsidRDefault="00A321F3" w:rsidP="00EC6305">
            <w:pPr>
              <w:rPr>
                <w:highlight w:val="yellow"/>
              </w:rPr>
            </w:pPr>
            <w:r>
              <w:t xml:space="preserve">Engagement projects provide specific opportunities for children and young people to participate. </w:t>
            </w:r>
          </w:p>
        </w:tc>
      </w:tr>
      <w:tr w:rsidR="00A321F3" w:rsidTr="00EC6305">
        <w:tc>
          <w:tcPr>
            <w:tcW w:w="3969" w:type="dxa"/>
          </w:tcPr>
          <w:p w:rsidR="00A321F3" w:rsidRDefault="00A321F3" w:rsidP="00EC6305">
            <w:pPr>
              <w:rPr>
                <w:highlight w:val="yellow"/>
              </w:rPr>
            </w:pPr>
            <w:r>
              <w:t xml:space="preserve">2.5 Embed a strengthened, whole of Council approach, to including the voice of children in Council decision making through consistent practice, supporting resources and professional development. </w:t>
            </w:r>
          </w:p>
        </w:tc>
        <w:tc>
          <w:tcPr>
            <w:tcW w:w="2457" w:type="dxa"/>
          </w:tcPr>
          <w:p w:rsidR="00A321F3" w:rsidRDefault="00A321F3" w:rsidP="00EC6305">
            <w:pPr>
              <w:rPr>
                <w:highlight w:val="yellow"/>
              </w:rPr>
            </w:pPr>
            <w:r>
              <w:t>Medium to long term</w:t>
            </w:r>
          </w:p>
        </w:tc>
        <w:tc>
          <w:tcPr>
            <w:tcW w:w="3213" w:type="dxa"/>
          </w:tcPr>
          <w:p w:rsidR="00A321F3" w:rsidRDefault="00A321F3" w:rsidP="00EC6305">
            <w:pPr>
              <w:rPr>
                <w:highlight w:val="yellow"/>
              </w:rPr>
            </w:pPr>
            <w:r>
              <w:t xml:space="preserve">Establish guide with tips, principles, statutory obligations, useful case studies and reference to available resources on intranet. This is supported by library of physical, age appropriate engagement resources and professional development delivered to teams routinely engaging children in their practice.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pPr>
              <w:rPr>
                <w:highlight w:val="yellow"/>
              </w:rPr>
            </w:pPr>
            <w:r>
              <w:t>2.6 Develop an effective, youth-led approach to engaging young people aged 12 to 25.</w:t>
            </w:r>
          </w:p>
        </w:tc>
        <w:tc>
          <w:tcPr>
            <w:tcW w:w="2457" w:type="dxa"/>
          </w:tcPr>
          <w:p w:rsidR="00A321F3" w:rsidRDefault="00A321F3" w:rsidP="00EC6305">
            <w:pPr>
              <w:rPr>
                <w:highlight w:val="yellow"/>
              </w:rPr>
            </w:pPr>
            <w:r>
              <w:t xml:space="preserve">Medium </w:t>
            </w:r>
          </w:p>
        </w:tc>
        <w:tc>
          <w:tcPr>
            <w:tcW w:w="3213" w:type="dxa"/>
          </w:tcPr>
          <w:p w:rsidR="00A321F3" w:rsidRDefault="00A321F3" w:rsidP="00EC6305">
            <w:pPr>
              <w:rPr>
                <w:highlight w:val="yellow"/>
              </w:rPr>
            </w:pPr>
            <w:r>
              <w:t xml:space="preserve">A youth-led approach to incorporating the voice of young people in council decision-making is established and implemented. </w:t>
            </w:r>
          </w:p>
        </w:tc>
      </w:tr>
      <w:tr w:rsidR="00A321F3" w:rsidTr="00EC6305">
        <w:tc>
          <w:tcPr>
            <w:tcW w:w="3969" w:type="dxa"/>
          </w:tcPr>
          <w:p w:rsidR="00A321F3" w:rsidRDefault="00A321F3" w:rsidP="00EC6305">
            <w:r>
              <w:t>2.7 Create a centralised and regularly updated database of community contacts, including; multicultural community groups, public housing representative organisations, local sporting groups, business associations, resident groups and other relevant community based, peak body or advocacy groups. The database will be used internally to assist proactive outreach.</w:t>
            </w:r>
          </w:p>
        </w:tc>
        <w:tc>
          <w:tcPr>
            <w:tcW w:w="2457" w:type="dxa"/>
          </w:tcPr>
          <w:p w:rsidR="00A321F3" w:rsidRDefault="00A321F3" w:rsidP="00EC6305">
            <w:r>
              <w:t xml:space="preserve">Short, ongoing </w:t>
            </w:r>
          </w:p>
          <w:p w:rsidR="00A321F3" w:rsidRDefault="00A321F3" w:rsidP="00EC6305">
            <w:pPr>
              <w:rPr>
                <w:highlight w:val="yellow"/>
              </w:rPr>
            </w:pPr>
          </w:p>
        </w:tc>
        <w:tc>
          <w:tcPr>
            <w:tcW w:w="3213" w:type="dxa"/>
          </w:tcPr>
          <w:p w:rsidR="00A321F3" w:rsidRDefault="00A321F3" w:rsidP="00EC6305">
            <w:pPr>
              <w:rPr>
                <w:highlight w:val="yellow"/>
              </w:rPr>
            </w:pPr>
            <w:r>
              <w:t xml:space="preserve">Database of community contacts is developed and updated annually.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r>
              <w:t>2.8 Support meaningful engagement for people living with disability.</w:t>
            </w:r>
          </w:p>
        </w:tc>
        <w:tc>
          <w:tcPr>
            <w:tcW w:w="2457" w:type="dxa"/>
          </w:tcPr>
          <w:p w:rsidR="00A321F3" w:rsidRDefault="00A321F3" w:rsidP="00EC6305">
            <w:pPr>
              <w:rPr>
                <w:highlight w:val="yellow"/>
              </w:rPr>
            </w:pPr>
            <w:r w:rsidRPr="00535EB1">
              <w:t xml:space="preserve">Short, ongoing </w:t>
            </w:r>
          </w:p>
        </w:tc>
        <w:tc>
          <w:tcPr>
            <w:tcW w:w="3213" w:type="dxa"/>
          </w:tcPr>
          <w:p w:rsidR="00A321F3" w:rsidRDefault="00A321F3" w:rsidP="00EC6305">
            <w:r>
              <w:t xml:space="preserve">Engagement projects provide opportunities for people living with disability to participate, with accessible materials online and in hard copy, promotion of accessible supports at consultation events and updating the </w:t>
            </w:r>
          </w:p>
          <w:p w:rsidR="00A321F3" w:rsidRDefault="00A321F3" w:rsidP="00EC6305">
            <w:pPr>
              <w:rPr>
                <w:highlight w:val="yellow"/>
              </w:rPr>
            </w:pPr>
            <w:r>
              <w:lastRenderedPageBreak/>
              <w:t>Your Say Yarra registration fields to allow individuals to outline their accessibility requirements.</w:t>
            </w:r>
          </w:p>
        </w:tc>
      </w:tr>
      <w:tr w:rsidR="00A321F3" w:rsidTr="00EC6305">
        <w:tc>
          <w:tcPr>
            <w:tcW w:w="3969" w:type="dxa"/>
          </w:tcPr>
          <w:p w:rsidR="00A321F3" w:rsidRDefault="00A321F3" w:rsidP="00EC6305">
            <w:r>
              <w:lastRenderedPageBreak/>
              <w:t>2.9 Review our stakeholder mapping processes and community profile to ensure we continue to engage the most impacted demographics.</w:t>
            </w:r>
          </w:p>
        </w:tc>
        <w:tc>
          <w:tcPr>
            <w:tcW w:w="2457" w:type="dxa"/>
          </w:tcPr>
          <w:p w:rsidR="00A321F3" w:rsidRDefault="00A321F3" w:rsidP="00EC6305">
            <w:pPr>
              <w:rPr>
                <w:highlight w:val="yellow"/>
              </w:rPr>
            </w:pPr>
            <w:r>
              <w:t>Annual</w:t>
            </w:r>
          </w:p>
        </w:tc>
        <w:tc>
          <w:tcPr>
            <w:tcW w:w="3213" w:type="dxa"/>
          </w:tcPr>
          <w:p w:rsidR="00A321F3" w:rsidRDefault="00A321F3" w:rsidP="00EC6305">
            <w:pPr>
              <w:rPr>
                <w:highlight w:val="yellow"/>
              </w:rPr>
            </w:pPr>
            <w:r>
              <w:t>Internal resources are updated annually to reflect demographic changes.</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r>
              <w:t>2.10 Develop creative social media campaigns to support informed and meaningful engagement that encourages the participation of a broader audience, particularly renters and young people.</w:t>
            </w:r>
          </w:p>
        </w:tc>
        <w:tc>
          <w:tcPr>
            <w:tcW w:w="2457" w:type="dxa"/>
          </w:tcPr>
          <w:p w:rsidR="00A321F3" w:rsidRDefault="00A321F3" w:rsidP="00EC6305">
            <w:pPr>
              <w:rPr>
                <w:highlight w:val="yellow"/>
              </w:rPr>
            </w:pPr>
            <w:r>
              <w:t>Short, ongoing</w:t>
            </w:r>
          </w:p>
        </w:tc>
        <w:tc>
          <w:tcPr>
            <w:tcW w:w="3213" w:type="dxa"/>
          </w:tcPr>
          <w:p w:rsidR="00A321F3" w:rsidRDefault="00A321F3" w:rsidP="00EC6305">
            <w:r>
              <w:t xml:space="preserve">Social media campaigns are delivered that supported participation from a broad audience that reflects Yarra’s demography.  </w:t>
            </w:r>
          </w:p>
          <w:p w:rsidR="00A321F3" w:rsidRDefault="00A321F3" w:rsidP="00EC6305"/>
          <w:p w:rsidR="00A321F3" w:rsidRDefault="00A321F3" w:rsidP="00EC6305"/>
          <w:p w:rsidR="00A321F3" w:rsidRDefault="00A321F3" w:rsidP="00EC6305"/>
          <w:p w:rsidR="00A321F3" w:rsidRDefault="00A321F3" w:rsidP="00EC6305"/>
          <w:p w:rsidR="00A321F3" w:rsidRDefault="00A321F3" w:rsidP="00EC6305"/>
          <w:p w:rsidR="00A321F3" w:rsidRDefault="00A321F3" w:rsidP="00EC6305"/>
          <w:p w:rsidR="00A321F3" w:rsidRDefault="00A321F3" w:rsidP="00EC6305"/>
          <w:p w:rsidR="00A321F3" w:rsidRDefault="00A321F3" w:rsidP="00EC6305">
            <w:pPr>
              <w:rPr>
                <w:highlight w:val="yellow"/>
              </w:rPr>
            </w:pPr>
          </w:p>
        </w:tc>
      </w:tr>
    </w:tbl>
    <w:p w:rsidR="00A321F3" w:rsidRDefault="00A321F3" w:rsidP="00A321F3">
      <w:pPr>
        <w:rPr>
          <w:highlight w:val="yellow"/>
        </w:rPr>
      </w:pPr>
    </w:p>
    <w:p w:rsidR="00A321F3" w:rsidRDefault="00A321F3" w:rsidP="00A321F3">
      <w:pPr>
        <w:pStyle w:val="Heading2"/>
        <w:numPr>
          <w:ilvl w:val="0"/>
          <w:numId w:val="38"/>
        </w:numPr>
      </w:pPr>
      <w:r w:rsidRPr="005818DB">
        <w:t xml:space="preserve">INFORMED AND MEANINGFUL </w:t>
      </w:r>
    </w:p>
    <w:p w:rsidR="00A321F3" w:rsidRPr="008D66D4" w:rsidRDefault="00A321F3" w:rsidP="00A321F3">
      <w:pPr>
        <w:pStyle w:val="Introtext"/>
      </w:pPr>
      <w:r w:rsidRPr="008D66D4">
        <w:t xml:space="preserve">We </w:t>
      </w:r>
      <w:r>
        <w:t xml:space="preserve">make sure </w:t>
      </w:r>
      <w:r w:rsidRPr="008D66D4">
        <w:t xml:space="preserve">those affected by or interested in a decision are informed by timely, relevant and objective information provided in a plain English and accessible format. We ensure the engagement methods are appropriate to the purpose and objectives of the engagement and the level of impact and influence </w:t>
      </w:r>
      <w:r>
        <w:t>involved in that decision making</w:t>
      </w:r>
      <w:r w:rsidRPr="008D66D4">
        <w:t xml:space="preserve">.  </w:t>
      </w:r>
    </w:p>
    <w:tbl>
      <w:tblPr>
        <w:tblStyle w:val="TableGrid"/>
        <w:tblW w:w="0" w:type="auto"/>
        <w:tblLook w:val="04A0" w:firstRow="1" w:lastRow="0" w:firstColumn="1" w:lastColumn="0" w:noHBand="0" w:noVBand="1"/>
      </w:tblPr>
      <w:tblGrid>
        <w:gridCol w:w="3969"/>
        <w:gridCol w:w="2457"/>
        <w:gridCol w:w="3213"/>
      </w:tblGrid>
      <w:tr w:rsidR="00A321F3" w:rsidRPr="007D69DA" w:rsidTr="00EC6305">
        <w:trPr>
          <w:cnfStyle w:val="100000000000" w:firstRow="1" w:lastRow="0" w:firstColumn="0" w:lastColumn="0" w:oddVBand="0" w:evenVBand="0" w:oddHBand="0" w:evenHBand="0" w:firstRowFirstColumn="0" w:firstRowLastColumn="0" w:lastRowFirstColumn="0" w:lastRowLastColumn="0"/>
        </w:trPr>
        <w:tc>
          <w:tcPr>
            <w:tcW w:w="3969" w:type="dxa"/>
          </w:tcPr>
          <w:p w:rsidR="00A321F3" w:rsidRPr="007D69DA" w:rsidRDefault="00A321F3" w:rsidP="00EC6305">
            <w:pPr>
              <w:rPr>
                <w:sz w:val="24"/>
              </w:rPr>
            </w:pPr>
            <w:r w:rsidRPr="007D69DA">
              <w:rPr>
                <w:sz w:val="24"/>
              </w:rPr>
              <w:t>Action</w:t>
            </w:r>
          </w:p>
        </w:tc>
        <w:tc>
          <w:tcPr>
            <w:tcW w:w="2457" w:type="dxa"/>
          </w:tcPr>
          <w:p w:rsidR="00A321F3" w:rsidRPr="007D69DA" w:rsidRDefault="00A321F3" w:rsidP="00EC6305">
            <w:pPr>
              <w:rPr>
                <w:sz w:val="24"/>
              </w:rPr>
            </w:pPr>
            <w:r w:rsidRPr="007D69DA">
              <w:rPr>
                <w:sz w:val="24"/>
              </w:rPr>
              <w:t>Timing</w:t>
            </w:r>
          </w:p>
        </w:tc>
        <w:tc>
          <w:tcPr>
            <w:tcW w:w="3213" w:type="dxa"/>
          </w:tcPr>
          <w:p w:rsidR="00A321F3" w:rsidRPr="007D69DA" w:rsidRDefault="00A321F3" w:rsidP="00EC6305">
            <w:pPr>
              <w:rPr>
                <w:sz w:val="24"/>
              </w:rPr>
            </w:pPr>
            <w:r w:rsidRPr="007D69DA">
              <w:rPr>
                <w:sz w:val="24"/>
              </w:rPr>
              <w:t>Measure</w:t>
            </w:r>
          </w:p>
        </w:tc>
      </w:tr>
      <w:tr w:rsidR="00A321F3" w:rsidTr="00EC6305">
        <w:tc>
          <w:tcPr>
            <w:tcW w:w="3969" w:type="dxa"/>
          </w:tcPr>
          <w:p w:rsidR="00A321F3" w:rsidRDefault="00A321F3" w:rsidP="00EC6305">
            <w:pPr>
              <w:rPr>
                <w:highlight w:val="yellow"/>
              </w:rPr>
            </w:pPr>
            <w:r>
              <w:t>3.1 Explore the use of different online methods and tools to present complex or technical information in an accessible, relatable and interactive way, to assist the community to engage meaningfully.</w:t>
            </w:r>
          </w:p>
        </w:tc>
        <w:tc>
          <w:tcPr>
            <w:tcW w:w="2457" w:type="dxa"/>
          </w:tcPr>
          <w:p w:rsidR="00A321F3" w:rsidRDefault="00A321F3" w:rsidP="00EC6305">
            <w:pPr>
              <w:rPr>
                <w:highlight w:val="yellow"/>
              </w:rPr>
            </w:pPr>
            <w:r>
              <w:t xml:space="preserve">Ongoing </w:t>
            </w:r>
          </w:p>
        </w:tc>
        <w:tc>
          <w:tcPr>
            <w:tcW w:w="3213" w:type="dxa"/>
          </w:tcPr>
          <w:p w:rsidR="00A321F3" w:rsidRDefault="00A321F3" w:rsidP="00EC6305">
            <w:pPr>
              <w:rPr>
                <w:highlight w:val="yellow"/>
              </w:rPr>
            </w:pPr>
            <w:r>
              <w:t xml:space="preserve">A range of digital engagement tools are implemented that deliver complex content in an easily accessible format.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pPr>
              <w:rPr>
                <w:highlight w:val="yellow"/>
              </w:rPr>
            </w:pPr>
            <w:r>
              <w:t xml:space="preserve">3.2 </w:t>
            </w:r>
            <w:r w:rsidRPr="00987623">
              <w:t xml:space="preserve">Assist staff to engage with Yarra’s advisory committees. </w:t>
            </w:r>
          </w:p>
        </w:tc>
        <w:tc>
          <w:tcPr>
            <w:tcW w:w="2457" w:type="dxa"/>
          </w:tcPr>
          <w:p w:rsidR="00A321F3" w:rsidRDefault="00A321F3" w:rsidP="00EC6305">
            <w:pPr>
              <w:rPr>
                <w:highlight w:val="yellow"/>
              </w:rPr>
            </w:pPr>
            <w:r w:rsidRPr="00987623">
              <w:t xml:space="preserve">Short, </w:t>
            </w:r>
            <w:r>
              <w:t>o</w:t>
            </w:r>
            <w:r w:rsidRPr="00987623">
              <w:t xml:space="preserve">ngoing </w:t>
            </w:r>
          </w:p>
        </w:tc>
        <w:tc>
          <w:tcPr>
            <w:tcW w:w="3213" w:type="dxa"/>
          </w:tcPr>
          <w:p w:rsidR="00A321F3" w:rsidRPr="00987623" w:rsidRDefault="00A321F3" w:rsidP="00EC6305">
            <w:r>
              <w:t xml:space="preserve">A central contact </w:t>
            </w:r>
            <w:r w:rsidRPr="00987623">
              <w:t xml:space="preserve">list </w:t>
            </w:r>
            <w:r>
              <w:t xml:space="preserve">detailing internal contacts is </w:t>
            </w:r>
            <w:r w:rsidRPr="00987623">
              <w:t>available</w:t>
            </w:r>
            <w:r>
              <w:t xml:space="preserve"> for internal use.</w:t>
            </w:r>
            <w:r w:rsidRPr="00987623">
              <w:t xml:space="preserve"> </w:t>
            </w:r>
          </w:p>
          <w:p w:rsidR="00A321F3" w:rsidRDefault="00A321F3" w:rsidP="00EC6305"/>
          <w:p w:rsidR="00A321F3" w:rsidRDefault="00A321F3" w:rsidP="00EC6305">
            <w:pPr>
              <w:rPr>
                <w:highlight w:val="yellow"/>
              </w:rPr>
            </w:pPr>
            <w:r>
              <w:lastRenderedPageBreak/>
              <w:t>The r</w:t>
            </w:r>
            <w:r w:rsidRPr="00987623">
              <w:t>ole of advisory committee</w:t>
            </w:r>
            <w:r>
              <w:t>s is</w:t>
            </w:r>
            <w:r w:rsidRPr="00987623">
              <w:t xml:space="preserve"> embedded within C</w:t>
            </w:r>
            <w:r>
              <w:t>ommunity Engagement P</w:t>
            </w:r>
            <w:r w:rsidRPr="00987623">
              <w:t>olicy and process guide</w:t>
            </w:r>
            <w:r>
              <w:t>.</w:t>
            </w:r>
            <w:r w:rsidRPr="00987623">
              <w:t xml:space="preserve"> </w:t>
            </w:r>
          </w:p>
        </w:tc>
      </w:tr>
      <w:tr w:rsidR="00A321F3" w:rsidTr="00EC6305">
        <w:tc>
          <w:tcPr>
            <w:tcW w:w="3969" w:type="dxa"/>
          </w:tcPr>
          <w:p w:rsidR="00A321F3" w:rsidRDefault="00A321F3" w:rsidP="00EC6305">
            <w:pPr>
              <w:rPr>
                <w:highlight w:val="yellow"/>
              </w:rPr>
            </w:pPr>
            <w:r>
              <w:lastRenderedPageBreak/>
              <w:t xml:space="preserve">3.3 Be clear about the role of technical and social research and where it differs from, supports or is supported by community engagement. </w:t>
            </w:r>
          </w:p>
        </w:tc>
        <w:tc>
          <w:tcPr>
            <w:tcW w:w="2457" w:type="dxa"/>
          </w:tcPr>
          <w:p w:rsidR="00A321F3" w:rsidRDefault="00A321F3" w:rsidP="00EC6305">
            <w:pPr>
              <w:rPr>
                <w:highlight w:val="yellow"/>
              </w:rPr>
            </w:pPr>
            <w:r>
              <w:t xml:space="preserve">Short, ongoing </w:t>
            </w:r>
          </w:p>
        </w:tc>
        <w:tc>
          <w:tcPr>
            <w:tcW w:w="3213" w:type="dxa"/>
          </w:tcPr>
          <w:p w:rsidR="00A321F3" w:rsidRDefault="00A321F3" w:rsidP="00EC6305">
            <w:pPr>
              <w:rPr>
                <w:highlight w:val="yellow"/>
              </w:rPr>
            </w:pPr>
            <w:r>
              <w:t xml:space="preserve">Clear definitions and processes are outlined in the Community Engagement Process Guide.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pPr>
              <w:rPr>
                <w:highlight w:val="yellow"/>
              </w:rPr>
            </w:pPr>
            <w:r>
              <w:t xml:space="preserve">3.4 Explore place-based online engagement methods and tools where appropriate to facilitate a neighbourhood approach. </w:t>
            </w:r>
          </w:p>
        </w:tc>
        <w:tc>
          <w:tcPr>
            <w:tcW w:w="2457" w:type="dxa"/>
          </w:tcPr>
          <w:p w:rsidR="00A321F3" w:rsidRDefault="00A321F3" w:rsidP="00EC6305">
            <w:pPr>
              <w:rPr>
                <w:highlight w:val="yellow"/>
              </w:rPr>
            </w:pPr>
            <w:r>
              <w:t xml:space="preserve">Ongoing </w:t>
            </w:r>
          </w:p>
        </w:tc>
        <w:tc>
          <w:tcPr>
            <w:tcW w:w="3213" w:type="dxa"/>
          </w:tcPr>
          <w:p w:rsidR="00A321F3" w:rsidRDefault="00A321F3" w:rsidP="00EC6305">
            <w:pPr>
              <w:rPr>
                <w:highlight w:val="yellow"/>
              </w:rPr>
            </w:pPr>
            <w:r>
              <w:t xml:space="preserve">Use map based engagement tools and investigate new digital opportunities where appropriate.  </w:t>
            </w:r>
          </w:p>
        </w:tc>
      </w:tr>
      <w:tr w:rsidR="00A321F3" w:rsidTr="00EC6305">
        <w:tc>
          <w:tcPr>
            <w:tcW w:w="3969" w:type="dxa"/>
          </w:tcPr>
          <w:p w:rsidR="00A321F3" w:rsidRDefault="00A321F3" w:rsidP="00EC6305">
            <w:r>
              <w:t>3.5 Ensure engagement methods are appropriate to the level of impact on the community and their level of influence on the decision-making process, in line with the IAP2 spectrum of engagement.</w:t>
            </w:r>
          </w:p>
          <w:p w:rsidR="00A321F3" w:rsidRDefault="00A321F3" w:rsidP="00EC6305">
            <w:pPr>
              <w:rPr>
                <w:highlight w:val="yellow"/>
              </w:rPr>
            </w:pPr>
          </w:p>
        </w:tc>
        <w:tc>
          <w:tcPr>
            <w:tcW w:w="2457" w:type="dxa"/>
          </w:tcPr>
          <w:p w:rsidR="00A321F3" w:rsidRDefault="00A321F3" w:rsidP="00EC6305">
            <w:pPr>
              <w:rPr>
                <w:highlight w:val="yellow"/>
              </w:rPr>
            </w:pPr>
            <w:r>
              <w:t>Short, ongoing</w:t>
            </w:r>
          </w:p>
        </w:tc>
        <w:tc>
          <w:tcPr>
            <w:tcW w:w="3213" w:type="dxa"/>
          </w:tcPr>
          <w:p w:rsidR="00A321F3" w:rsidRDefault="00A321F3" w:rsidP="00EC6305">
            <w:pPr>
              <w:rPr>
                <w:highlight w:val="yellow"/>
              </w:rPr>
            </w:pPr>
            <w:r>
              <w:t xml:space="preserve">Council engagement processes use a range of engagement methods appropriate to different levels of influence as outlined in the community engagement policy and process guide.  </w:t>
            </w:r>
          </w:p>
        </w:tc>
      </w:tr>
    </w:tbl>
    <w:p w:rsidR="00A321F3" w:rsidRDefault="00A321F3" w:rsidP="00A321F3">
      <w:pPr>
        <w:rPr>
          <w:highlight w:val="yellow"/>
        </w:rPr>
      </w:pPr>
    </w:p>
    <w:p w:rsidR="00A321F3" w:rsidRDefault="00A321F3" w:rsidP="00A321F3">
      <w:pPr>
        <w:pStyle w:val="Heading2"/>
        <w:numPr>
          <w:ilvl w:val="0"/>
          <w:numId w:val="38"/>
        </w:numPr>
      </w:pPr>
      <w:r>
        <w:t>RESPECTING AND STRENGTHENING COMMUNITY</w:t>
      </w:r>
    </w:p>
    <w:p w:rsidR="00A321F3" w:rsidRPr="00A118D7" w:rsidRDefault="00A321F3" w:rsidP="00A321F3">
      <w:pPr>
        <w:pStyle w:val="Introtext"/>
      </w:pPr>
      <w:r w:rsidRPr="00A118D7">
        <w:t>We acknowledge and value</w:t>
      </w:r>
      <w:r>
        <w:t xml:space="preserve"> our community’s </w:t>
      </w:r>
      <w:r w:rsidRPr="00A118D7">
        <w:t xml:space="preserve">time and resources by </w:t>
      </w:r>
      <w:r>
        <w:t>inviting</w:t>
      </w:r>
      <w:r w:rsidRPr="00A118D7">
        <w:t xml:space="preserve"> engagement </w:t>
      </w:r>
      <w:r>
        <w:t>early when</w:t>
      </w:r>
      <w:r w:rsidRPr="00A118D7">
        <w:t xml:space="preserve"> influence is at its highest and choosing methods that match </w:t>
      </w:r>
      <w:r>
        <w:t>the level of influence available</w:t>
      </w:r>
      <w:r w:rsidRPr="00A118D7">
        <w:t>.  We</w:t>
      </w:r>
      <w:r>
        <w:t xml:space="preserve"> </w:t>
      </w:r>
      <w:r w:rsidRPr="00A118D7">
        <w:t xml:space="preserve">respect that our community </w:t>
      </w:r>
      <w:r>
        <w:t>includes</w:t>
      </w:r>
      <w:r w:rsidRPr="00A118D7">
        <w:t xml:space="preserve"> of a range of valid perspectives, experiences and knowledge. Where appropriate</w:t>
      </w:r>
      <w:r>
        <w:t>,</w:t>
      </w:r>
      <w:r w:rsidRPr="00A118D7">
        <w:t xml:space="preserve"> we share community sentiment with other organisations and levels of government </w:t>
      </w:r>
      <w:r>
        <w:t xml:space="preserve">whose </w:t>
      </w:r>
      <w:r w:rsidRPr="00A118D7">
        <w:t>decisions impact our community.</w:t>
      </w:r>
    </w:p>
    <w:tbl>
      <w:tblPr>
        <w:tblStyle w:val="TableGrid"/>
        <w:tblW w:w="0" w:type="auto"/>
        <w:tblLook w:val="04A0" w:firstRow="1" w:lastRow="0" w:firstColumn="1" w:lastColumn="0" w:noHBand="0" w:noVBand="1"/>
      </w:tblPr>
      <w:tblGrid>
        <w:gridCol w:w="3969"/>
        <w:gridCol w:w="2457"/>
        <w:gridCol w:w="3213"/>
      </w:tblGrid>
      <w:tr w:rsidR="00A321F3" w:rsidRPr="00BD4BB9" w:rsidTr="00EC6305">
        <w:trPr>
          <w:cnfStyle w:val="100000000000" w:firstRow="1" w:lastRow="0" w:firstColumn="0" w:lastColumn="0" w:oddVBand="0" w:evenVBand="0" w:oddHBand="0" w:evenHBand="0" w:firstRowFirstColumn="0" w:firstRowLastColumn="0" w:lastRowFirstColumn="0" w:lastRowLastColumn="0"/>
        </w:trPr>
        <w:tc>
          <w:tcPr>
            <w:tcW w:w="3969" w:type="dxa"/>
          </w:tcPr>
          <w:p w:rsidR="00A321F3" w:rsidRPr="00BD4BB9" w:rsidRDefault="00A321F3" w:rsidP="00EC6305">
            <w:pPr>
              <w:rPr>
                <w:sz w:val="24"/>
              </w:rPr>
            </w:pPr>
            <w:r w:rsidRPr="00BD4BB9">
              <w:rPr>
                <w:sz w:val="24"/>
              </w:rPr>
              <w:t>Action</w:t>
            </w:r>
          </w:p>
        </w:tc>
        <w:tc>
          <w:tcPr>
            <w:tcW w:w="2457" w:type="dxa"/>
          </w:tcPr>
          <w:p w:rsidR="00A321F3" w:rsidRPr="00BD4BB9" w:rsidRDefault="00A321F3" w:rsidP="00EC6305">
            <w:pPr>
              <w:rPr>
                <w:sz w:val="24"/>
              </w:rPr>
            </w:pPr>
            <w:r w:rsidRPr="00BD4BB9">
              <w:rPr>
                <w:sz w:val="24"/>
              </w:rPr>
              <w:t>Timing</w:t>
            </w:r>
          </w:p>
        </w:tc>
        <w:tc>
          <w:tcPr>
            <w:tcW w:w="3213" w:type="dxa"/>
          </w:tcPr>
          <w:p w:rsidR="00A321F3" w:rsidRPr="00BD4BB9" w:rsidRDefault="00A321F3" w:rsidP="00EC6305">
            <w:pPr>
              <w:rPr>
                <w:sz w:val="24"/>
              </w:rPr>
            </w:pPr>
            <w:r w:rsidRPr="00BD4BB9">
              <w:rPr>
                <w:sz w:val="24"/>
              </w:rPr>
              <w:t>Measure</w:t>
            </w:r>
          </w:p>
        </w:tc>
      </w:tr>
      <w:tr w:rsidR="00A321F3" w:rsidTr="00EC6305">
        <w:tc>
          <w:tcPr>
            <w:tcW w:w="3969" w:type="dxa"/>
          </w:tcPr>
          <w:p w:rsidR="00A321F3" w:rsidRDefault="00A321F3" w:rsidP="00EC6305">
            <w:pPr>
              <w:rPr>
                <w:highlight w:val="yellow"/>
              </w:rPr>
            </w:pPr>
            <w:r>
              <w:t>4.1 Conduct a representative and meaningful consultation process to develop a long term community vision for Yarra and inform Council’s four year planning cycle and other long term planning processes.</w:t>
            </w:r>
          </w:p>
        </w:tc>
        <w:tc>
          <w:tcPr>
            <w:tcW w:w="2457" w:type="dxa"/>
          </w:tcPr>
          <w:p w:rsidR="00A321F3" w:rsidRDefault="00A321F3" w:rsidP="00EC6305">
            <w:pPr>
              <w:rPr>
                <w:highlight w:val="yellow"/>
              </w:rPr>
            </w:pPr>
            <w:r>
              <w:t xml:space="preserve">Medium </w:t>
            </w:r>
          </w:p>
        </w:tc>
        <w:tc>
          <w:tcPr>
            <w:tcW w:w="3213" w:type="dxa"/>
          </w:tcPr>
          <w:p w:rsidR="00A321F3" w:rsidRDefault="00A321F3" w:rsidP="00EC6305">
            <w:pPr>
              <w:rPr>
                <w:highlight w:val="yellow"/>
              </w:rPr>
            </w:pPr>
            <w:r>
              <w:t>Community vision and four year Council plan reflect outcomes of considered community engagement process.</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pPr>
              <w:rPr>
                <w:highlight w:val="yellow"/>
              </w:rPr>
            </w:pPr>
            <w:r>
              <w:t>4.2 Explore opportunities to harness community engagement input when advocating on behalf of the community to external organisations and other levels of government.</w:t>
            </w:r>
          </w:p>
        </w:tc>
        <w:tc>
          <w:tcPr>
            <w:tcW w:w="2457" w:type="dxa"/>
          </w:tcPr>
          <w:p w:rsidR="00A321F3" w:rsidRDefault="00A321F3" w:rsidP="00EC6305">
            <w:pPr>
              <w:rPr>
                <w:highlight w:val="yellow"/>
              </w:rPr>
            </w:pPr>
            <w:r>
              <w:t xml:space="preserve">Medium, ongoing </w:t>
            </w:r>
          </w:p>
        </w:tc>
        <w:tc>
          <w:tcPr>
            <w:tcW w:w="3213" w:type="dxa"/>
          </w:tcPr>
          <w:p w:rsidR="00A321F3" w:rsidRDefault="00A321F3" w:rsidP="00EC6305">
            <w:r>
              <w:t>Our advocacy reflects the needs, aspirations and challenges our community expresses through Council’s community engagement processes.</w:t>
            </w:r>
          </w:p>
          <w:p w:rsidR="00A321F3" w:rsidRDefault="00A321F3" w:rsidP="00EC6305">
            <w:pPr>
              <w:rPr>
                <w:highlight w:val="yellow"/>
              </w:rPr>
            </w:pPr>
          </w:p>
        </w:tc>
      </w:tr>
      <w:tr w:rsidR="00A321F3" w:rsidTr="00EC6305">
        <w:tc>
          <w:tcPr>
            <w:tcW w:w="3969" w:type="dxa"/>
          </w:tcPr>
          <w:p w:rsidR="00A321F3" w:rsidRDefault="00A321F3" w:rsidP="00EC6305">
            <w:pPr>
              <w:rPr>
                <w:highlight w:val="yellow"/>
              </w:rPr>
            </w:pPr>
            <w:r>
              <w:lastRenderedPageBreak/>
              <w:t>4.3 Develop a shared central resource to catalogue where consultation has already occurred on issues or with particular communities to enhance future engagement and avoid over-consulting.</w:t>
            </w:r>
          </w:p>
        </w:tc>
        <w:tc>
          <w:tcPr>
            <w:tcW w:w="2457" w:type="dxa"/>
          </w:tcPr>
          <w:p w:rsidR="00A321F3" w:rsidRDefault="00A321F3" w:rsidP="00EC6305">
            <w:pPr>
              <w:rPr>
                <w:highlight w:val="yellow"/>
              </w:rPr>
            </w:pPr>
            <w:r>
              <w:t xml:space="preserve">Short, ongoing </w:t>
            </w:r>
          </w:p>
        </w:tc>
        <w:tc>
          <w:tcPr>
            <w:tcW w:w="3213" w:type="dxa"/>
          </w:tcPr>
          <w:p w:rsidR="00A321F3" w:rsidRDefault="00A321F3" w:rsidP="00EC6305">
            <w:pPr>
              <w:rPr>
                <w:highlight w:val="yellow"/>
              </w:rPr>
            </w:pPr>
            <w:r>
              <w:t xml:space="preserve">Central resource is available on intranet and is regularly updated.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pPr>
              <w:rPr>
                <w:highlight w:val="yellow"/>
              </w:rPr>
            </w:pPr>
            <w:r>
              <w:t xml:space="preserve">4.4 Strengthen community engagement at an early stage in Council planning processes at the point where the community has the highest level of influence.  </w:t>
            </w:r>
          </w:p>
        </w:tc>
        <w:tc>
          <w:tcPr>
            <w:tcW w:w="2457" w:type="dxa"/>
          </w:tcPr>
          <w:p w:rsidR="00A321F3" w:rsidRDefault="00A321F3" w:rsidP="00EC6305">
            <w:pPr>
              <w:rPr>
                <w:highlight w:val="yellow"/>
              </w:rPr>
            </w:pPr>
            <w:r>
              <w:t xml:space="preserve">Short, ongoing </w:t>
            </w:r>
          </w:p>
        </w:tc>
        <w:tc>
          <w:tcPr>
            <w:tcW w:w="3213" w:type="dxa"/>
          </w:tcPr>
          <w:p w:rsidR="00A321F3" w:rsidRDefault="00A321F3" w:rsidP="00EC6305">
            <w:pPr>
              <w:rPr>
                <w:highlight w:val="yellow"/>
              </w:rPr>
            </w:pPr>
            <w:r>
              <w:t xml:space="preserve">Community Engagement Process Guide outlines stages of engagement and how they align with the community’s level of influence. </w:t>
            </w:r>
          </w:p>
        </w:tc>
      </w:tr>
      <w:tr w:rsidR="00A321F3" w:rsidTr="00EC6305">
        <w:tc>
          <w:tcPr>
            <w:tcW w:w="3969" w:type="dxa"/>
          </w:tcPr>
          <w:p w:rsidR="00A321F3" w:rsidRDefault="00A321F3" w:rsidP="00EC6305">
            <w:pPr>
              <w:rPr>
                <w:highlight w:val="yellow"/>
              </w:rPr>
            </w:pPr>
            <w:r>
              <w:t xml:space="preserve">4.5 Ensure the community’s time and resources are respected by selecting engagement methods (including deliberative processes where necessary) that are appropriate to the project scope, purpose and the level of influence available to the community. </w:t>
            </w:r>
          </w:p>
        </w:tc>
        <w:tc>
          <w:tcPr>
            <w:tcW w:w="2457" w:type="dxa"/>
          </w:tcPr>
          <w:p w:rsidR="00A321F3" w:rsidRDefault="00A321F3" w:rsidP="00EC6305">
            <w:pPr>
              <w:rPr>
                <w:highlight w:val="yellow"/>
              </w:rPr>
            </w:pPr>
            <w:r>
              <w:t xml:space="preserve">Short, ongoing </w:t>
            </w:r>
          </w:p>
        </w:tc>
        <w:tc>
          <w:tcPr>
            <w:tcW w:w="3213" w:type="dxa"/>
          </w:tcPr>
          <w:p w:rsidR="00A321F3" w:rsidRDefault="00A321F3" w:rsidP="00EC6305">
            <w:pPr>
              <w:rPr>
                <w:highlight w:val="yellow"/>
              </w:rPr>
            </w:pPr>
            <w:r>
              <w:t xml:space="preserve">Community Engagement Process Guide outlines tools and methods appropriate to different levels of community influence. </w:t>
            </w:r>
          </w:p>
        </w:tc>
      </w:tr>
      <w:tr w:rsidR="00A321F3" w:rsidTr="00EC6305">
        <w:trPr>
          <w:cnfStyle w:val="000000010000" w:firstRow="0" w:lastRow="0" w:firstColumn="0" w:lastColumn="0" w:oddVBand="0" w:evenVBand="0" w:oddHBand="0" w:evenHBand="1" w:firstRowFirstColumn="0" w:firstRowLastColumn="0" w:lastRowFirstColumn="0" w:lastRowLastColumn="0"/>
        </w:trPr>
        <w:tc>
          <w:tcPr>
            <w:tcW w:w="3969" w:type="dxa"/>
          </w:tcPr>
          <w:p w:rsidR="00A321F3" w:rsidRDefault="00A321F3" w:rsidP="00EC6305">
            <w:pPr>
              <w:rPr>
                <w:highlight w:val="yellow"/>
              </w:rPr>
            </w:pPr>
            <w:r>
              <w:t xml:space="preserve">4.6 Advocate to external organisations and levels of government to ensure they are using best practice engagement standards when they are consulting with our community.  </w:t>
            </w:r>
          </w:p>
        </w:tc>
        <w:tc>
          <w:tcPr>
            <w:tcW w:w="2457" w:type="dxa"/>
          </w:tcPr>
          <w:p w:rsidR="00A321F3" w:rsidRDefault="00A321F3" w:rsidP="00EC6305">
            <w:pPr>
              <w:rPr>
                <w:highlight w:val="yellow"/>
              </w:rPr>
            </w:pPr>
            <w:r>
              <w:t>Medium</w:t>
            </w:r>
          </w:p>
        </w:tc>
        <w:tc>
          <w:tcPr>
            <w:tcW w:w="3213" w:type="dxa"/>
          </w:tcPr>
          <w:p w:rsidR="00A321F3" w:rsidRDefault="00A321F3" w:rsidP="00EC6305">
            <w:pPr>
              <w:rPr>
                <w:highlight w:val="yellow"/>
              </w:rPr>
            </w:pPr>
            <w:r w:rsidRPr="00CA331B">
              <w:t xml:space="preserve">City of Yarra Communication and Engagement Guidelines for Authority and Infrastructure Works has been completed and is </w:t>
            </w:r>
            <w:r>
              <w:t xml:space="preserve">communicated </w:t>
            </w:r>
            <w:r w:rsidRPr="00CA331B">
              <w:t>to external organisations</w:t>
            </w:r>
            <w:r>
              <w:t>.</w:t>
            </w:r>
          </w:p>
        </w:tc>
      </w:tr>
      <w:tr w:rsidR="00A321F3" w:rsidTr="00EC6305">
        <w:tc>
          <w:tcPr>
            <w:tcW w:w="3969" w:type="dxa"/>
          </w:tcPr>
          <w:p w:rsidR="00A321F3" w:rsidRDefault="00A321F3" w:rsidP="00EC6305">
            <w:r>
              <w:t>4.7 Explore the use of data analysis technology to more efficiently and effectively analyse large quantities of qualitative community feedback.</w:t>
            </w:r>
          </w:p>
        </w:tc>
        <w:tc>
          <w:tcPr>
            <w:tcW w:w="2457" w:type="dxa"/>
          </w:tcPr>
          <w:p w:rsidR="00A321F3" w:rsidRDefault="00A321F3" w:rsidP="00EC6305">
            <w:pPr>
              <w:rPr>
                <w:highlight w:val="yellow"/>
              </w:rPr>
            </w:pPr>
            <w:r>
              <w:t xml:space="preserve">Medium </w:t>
            </w:r>
          </w:p>
        </w:tc>
        <w:tc>
          <w:tcPr>
            <w:tcW w:w="3213" w:type="dxa"/>
          </w:tcPr>
          <w:p w:rsidR="00A321F3" w:rsidRDefault="00A321F3" w:rsidP="00EC6305">
            <w:pPr>
              <w:rPr>
                <w:highlight w:val="yellow"/>
              </w:rPr>
            </w:pPr>
            <w:r>
              <w:t xml:space="preserve">Explore and trial appropriate qualitative data analysis tools. </w:t>
            </w:r>
          </w:p>
        </w:tc>
      </w:tr>
    </w:tbl>
    <w:p w:rsidR="00A321F3" w:rsidRDefault="00A321F3" w:rsidP="00A321F3">
      <w:pPr>
        <w:sectPr w:rsidR="00A321F3" w:rsidSect="00B8315B">
          <w:footerReference w:type="even" r:id="rId11"/>
          <w:footerReference w:type="default" r:id="rId12"/>
          <w:pgSz w:w="11907" w:h="16840" w:code="9"/>
          <w:pgMar w:top="1729" w:right="1134" w:bottom="1134" w:left="1134" w:header="454" w:footer="312" w:gutter="0"/>
          <w:cols w:space="708"/>
          <w:titlePg/>
          <w:docGrid w:linePitch="360"/>
        </w:sectPr>
      </w:pPr>
      <w:bookmarkStart w:id="0" w:name="_GoBack"/>
      <w:bookmarkEnd w:id="0"/>
    </w:p>
    <w:p w:rsidR="006519E0" w:rsidRDefault="006519E0" w:rsidP="00CD28DD"/>
    <w:sectPr w:rsidR="006519E0" w:rsidSect="00DA45C8">
      <w:headerReference w:type="first" r:id="rId13"/>
      <w:pgSz w:w="11907" w:h="16840" w:code="9"/>
      <w:pgMar w:top="1729" w:right="1134" w:bottom="1134" w:left="1134" w:header="454"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5F0" w:rsidRDefault="002D05F0" w:rsidP="00CE604F">
      <w:r>
        <w:separator/>
      </w:r>
    </w:p>
    <w:p w:rsidR="002D05F0" w:rsidRDefault="002D05F0" w:rsidP="00CE604F"/>
    <w:p w:rsidR="002D05F0" w:rsidRDefault="002D05F0" w:rsidP="00CE604F"/>
    <w:p w:rsidR="002D05F0" w:rsidRDefault="002D05F0" w:rsidP="00CE604F"/>
  </w:endnote>
  <w:endnote w:type="continuationSeparator" w:id="0">
    <w:p w:rsidR="002D05F0" w:rsidRDefault="002D05F0" w:rsidP="00CE604F">
      <w:r>
        <w:continuationSeparator/>
      </w:r>
    </w:p>
    <w:p w:rsidR="002D05F0" w:rsidRDefault="002D05F0" w:rsidP="00CE604F"/>
    <w:p w:rsidR="002D05F0" w:rsidRDefault="002D05F0" w:rsidP="00CE604F"/>
    <w:p w:rsidR="002D05F0" w:rsidRDefault="002D05F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uli Light">
    <w:altName w:val="Calibri"/>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SemiBold">
    <w:altName w:val="Courier New"/>
    <w:charset w:val="00"/>
    <w:family w:val="auto"/>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ceholderTable"/>
      <w:tblpPr w:leftFromText="181" w:rightFromText="181" w:vertAnchor="page" w:tblpYSpec="bottom"/>
      <w:tblOverlap w:val="never"/>
      <w:tblW w:w="0" w:type="auto"/>
      <w:tblCellMar>
        <w:top w:w="28" w:type="dxa"/>
        <w:bottom w:w="170" w:type="dxa"/>
      </w:tblCellMar>
      <w:tblLook w:val="04A0" w:firstRow="1" w:lastRow="0" w:firstColumn="1" w:lastColumn="0" w:noHBand="0" w:noVBand="1"/>
    </w:tblPr>
    <w:tblGrid>
      <w:gridCol w:w="421"/>
      <w:gridCol w:w="4677"/>
    </w:tblGrid>
    <w:tr w:rsidR="00A321F3" w:rsidTr="005F0D4E">
      <w:trPr>
        <w:trHeight w:val="510"/>
      </w:trPr>
      <w:tc>
        <w:tcPr>
          <w:tcW w:w="421" w:type="dxa"/>
        </w:tcPr>
        <w:p w:rsidR="00A321F3" w:rsidRDefault="00A321F3" w:rsidP="00B8315B">
          <w:pPr>
            <w:pStyle w:val="Footer"/>
            <w:spacing w:line="200" w:lineRule="exac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7370F8">
            <w:rPr>
              <w:noProof/>
              <w:color w:val="00B4EE" w:themeColor="accent1"/>
              <w:sz w:val="20"/>
            </w:rPr>
            <w:t>02</w:t>
          </w:r>
          <w:r w:rsidRPr="00B8315B">
            <w:rPr>
              <w:noProof/>
              <w:color w:val="00B4EE" w:themeColor="accent1"/>
              <w:sz w:val="20"/>
            </w:rPr>
            <w:fldChar w:fldCharType="end"/>
          </w:r>
        </w:p>
      </w:tc>
      <w:sdt>
        <w:sdtPr>
          <w:alias w:val="Title"/>
          <w:tag w:val=""/>
          <w:id w:val="897789257"/>
          <w:dataBinding w:prefixMappings="xmlns:ns0='http://purl.org/dc/elements/1.1/' xmlns:ns1='http://schemas.openxmlformats.org/package/2006/metadata/core-properties' " w:xpath="/ns1:coreProperties[1]/ns0:title[1]" w:storeItemID="{6C3C8BC8-F283-45AE-878A-BAB7291924A1}"/>
          <w:text/>
        </w:sdtPr>
        <w:sdtEndPr/>
        <w:sdtContent>
          <w:tc>
            <w:tcPr>
              <w:tcW w:w="4677" w:type="dxa"/>
            </w:tcPr>
            <w:p w:rsidR="00A321F3" w:rsidRDefault="00A321F3" w:rsidP="00B8315B">
              <w:pPr>
                <w:pStyle w:val="Footer"/>
              </w:pPr>
              <w:r>
                <w:t>Community Engagement Action Plan 2020-2024</w:t>
              </w:r>
            </w:p>
          </w:tc>
        </w:sdtContent>
      </w:sdt>
    </w:tr>
  </w:tbl>
  <w:p w:rsidR="00A321F3" w:rsidRDefault="00A321F3" w:rsidP="00B831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ceholderTable"/>
      <w:tblpPr w:leftFromText="181" w:rightFromText="181" w:vertAnchor="page" w:tblpXSpec="right" w:tblpYSpec="bottom"/>
      <w:tblOverlap w:val="never"/>
      <w:tblW w:w="0" w:type="auto"/>
      <w:tblCellMar>
        <w:top w:w="28" w:type="dxa"/>
        <w:bottom w:w="170" w:type="dxa"/>
      </w:tblCellMar>
      <w:tblLook w:val="04A0" w:firstRow="1" w:lastRow="0" w:firstColumn="1" w:lastColumn="0" w:noHBand="0" w:noVBand="1"/>
    </w:tblPr>
    <w:tblGrid>
      <w:gridCol w:w="4677"/>
      <w:gridCol w:w="420"/>
    </w:tblGrid>
    <w:tr w:rsidR="00A321F3" w:rsidTr="007317F5">
      <w:trPr>
        <w:trHeight w:val="510"/>
      </w:trPr>
      <w:tc>
        <w:tcPr>
          <w:tcW w:w="4677" w:type="dxa"/>
        </w:tcPr>
        <w:p w:rsidR="00A321F3" w:rsidRDefault="00A321F3" w:rsidP="007317F5">
          <w:pPr>
            <w:pStyle w:val="FooterTextRight"/>
          </w:pPr>
          <w:r>
            <w:t>City of Yarra</w:t>
          </w:r>
        </w:p>
      </w:tc>
      <w:tc>
        <w:tcPr>
          <w:tcW w:w="420" w:type="dxa"/>
        </w:tcPr>
        <w:p w:rsidR="00A321F3" w:rsidRDefault="00A321F3" w:rsidP="007317F5">
          <w:pPr>
            <w:pStyle w:val="Footer"/>
            <w:spacing w:line="200" w:lineRule="exact"/>
            <w:jc w:val="righ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7370F8">
            <w:rPr>
              <w:noProof/>
              <w:color w:val="00B4EE" w:themeColor="accent1"/>
              <w:sz w:val="20"/>
            </w:rPr>
            <w:t>07</w:t>
          </w:r>
          <w:r w:rsidRPr="00B8315B">
            <w:rPr>
              <w:noProof/>
              <w:color w:val="00B4EE" w:themeColor="accent1"/>
              <w:sz w:val="20"/>
            </w:rPr>
            <w:fldChar w:fldCharType="end"/>
          </w:r>
        </w:p>
      </w:tc>
    </w:tr>
  </w:tbl>
  <w:p w:rsidR="00A321F3" w:rsidRPr="007317F5" w:rsidRDefault="00A321F3" w:rsidP="00731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5F0" w:rsidRDefault="002D05F0" w:rsidP="00CE604F">
      <w:r>
        <w:separator/>
      </w:r>
    </w:p>
    <w:p w:rsidR="002D05F0" w:rsidRDefault="002D05F0" w:rsidP="00CE604F"/>
    <w:p w:rsidR="002D05F0" w:rsidRDefault="002D05F0" w:rsidP="00CE604F"/>
    <w:p w:rsidR="002D05F0" w:rsidRDefault="002D05F0" w:rsidP="00CE604F"/>
  </w:footnote>
  <w:footnote w:type="continuationSeparator" w:id="0">
    <w:p w:rsidR="002D05F0" w:rsidRDefault="002D05F0" w:rsidP="00CE604F">
      <w:r>
        <w:continuationSeparator/>
      </w:r>
    </w:p>
    <w:p w:rsidR="002D05F0" w:rsidRDefault="002D05F0" w:rsidP="00CE604F"/>
    <w:p w:rsidR="002D05F0" w:rsidRDefault="002D05F0" w:rsidP="00CE604F"/>
    <w:p w:rsidR="002D05F0" w:rsidRDefault="002D05F0" w:rsidP="00CE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5C8" w:rsidRDefault="00DA45C8">
    <w:pPr>
      <w:pStyle w:val="Header"/>
    </w:pPr>
    <w:r>
      <w:rPr>
        <w:noProof/>
      </w:rPr>
      <w:drawing>
        <wp:anchor distT="0" distB="0" distL="114300" distR="114300" simplePos="0" relativeHeight="251662336" behindDoc="1" locked="0" layoutInCell="1" allowOverlap="1" wp14:anchorId="3B459E9B" wp14:editId="78E26C82">
          <wp:simplePos x="0" y="0"/>
          <wp:positionH relativeFrom="page">
            <wp:posOffset>190500</wp:posOffset>
          </wp:positionH>
          <wp:positionV relativeFrom="page">
            <wp:posOffset>180975</wp:posOffset>
          </wp:positionV>
          <wp:extent cx="7200000" cy="103320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photo.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1" layoutInCell="1" allowOverlap="1" wp14:anchorId="2169AD04" wp14:editId="6E1F3A9B">
          <wp:simplePos x="0" y="0"/>
          <wp:positionH relativeFrom="page">
            <wp:posOffset>6120765</wp:posOffset>
          </wp:positionH>
          <wp:positionV relativeFrom="page">
            <wp:posOffset>3276600</wp:posOffset>
          </wp:positionV>
          <wp:extent cx="1260000" cy="112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2">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1" layoutInCell="1" allowOverlap="1" wp14:anchorId="3F184970" wp14:editId="21C634B7">
              <wp:simplePos x="0" y="0"/>
              <wp:positionH relativeFrom="page">
                <wp:posOffset>4068445</wp:posOffset>
              </wp:positionH>
              <wp:positionV relativeFrom="page">
                <wp:posOffset>180340</wp:posOffset>
              </wp:positionV>
              <wp:extent cx="3312000" cy="3096000"/>
              <wp:effectExtent l="0" t="0" r="3175" b="9525"/>
              <wp:wrapNone/>
              <wp:docPr id="12" name="Rectangle 12"/>
              <wp:cNvGraphicFramePr/>
              <a:graphic xmlns:a="http://schemas.openxmlformats.org/drawingml/2006/main">
                <a:graphicData uri="http://schemas.microsoft.com/office/word/2010/wordprocessingShape">
                  <wps:wsp>
                    <wps:cNvSpPr/>
                    <wps:spPr>
                      <a:xfrm>
                        <a:off x="0" y="0"/>
                        <a:ext cx="3312000" cy="30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42400" id="Rectangle 12" o:spid="_x0000_s1026" style="position:absolute;margin-left:320.35pt;margin-top:14.2pt;width:260.8pt;height:24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" fillcolor="#00b4ee [3204]" stroked="f" strokeweight="2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4EA4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82F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9053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94E8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B420216"/>
    <w:multiLevelType w:val="hybridMultilevel"/>
    <w:tmpl w:val="416AF27E"/>
    <w:lvl w:ilvl="0" w:tplc="35AC91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F86D7F"/>
    <w:multiLevelType w:val="multilevel"/>
    <w:tmpl w:val="81806906"/>
    <w:name w:val="List Numbering"/>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none"/>
      <w:lvlText w:val=""/>
      <w:lvlJc w:val="left"/>
      <w:pPr>
        <w:tabs>
          <w:tab w:val="num" w:pos="1531"/>
        </w:tabs>
        <w:ind w:left="1588" w:hanging="397"/>
      </w:pPr>
      <w:rPr>
        <w:rFonts w:hint="default"/>
      </w:rPr>
    </w:lvl>
    <w:lvl w:ilvl="4">
      <w:start w:val="1"/>
      <w:numFmt w:val="none"/>
      <w:lvlText w:val=""/>
      <w:lvlJc w:val="left"/>
      <w:pPr>
        <w:tabs>
          <w:tab w:val="num" w:pos="1928"/>
        </w:tabs>
        <w:ind w:left="1985" w:hanging="397"/>
      </w:pPr>
      <w:rPr>
        <w:rFonts w:hint="default"/>
      </w:rPr>
    </w:lvl>
    <w:lvl w:ilvl="5">
      <w:start w:val="1"/>
      <w:numFmt w:val="none"/>
      <w:lvlText w:val=""/>
      <w:lvlJc w:val="left"/>
      <w:pPr>
        <w:tabs>
          <w:tab w:val="num" w:pos="2325"/>
        </w:tabs>
        <w:ind w:left="2382" w:hanging="397"/>
      </w:pPr>
      <w:rPr>
        <w:rFonts w:hint="default"/>
      </w:rPr>
    </w:lvl>
    <w:lvl w:ilvl="6">
      <w:start w:val="1"/>
      <w:numFmt w:val="none"/>
      <w:lvlText w:val=""/>
      <w:lvlJc w:val="left"/>
      <w:pPr>
        <w:tabs>
          <w:tab w:val="num" w:pos="2722"/>
        </w:tabs>
        <w:ind w:left="2779" w:hanging="397"/>
      </w:pPr>
      <w:rPr>
        <w:rFonts w:hint="default"/>
      </w:rPr>
    </w:lvl>
    <w:lvl w:ilvl="7">
      <w:start w:val="1"/>
      <w:numFmt w:val="none"/>
      <w:lvlText w:val=""/>
      <w:lvlJc w:val="left"/>
      <w:pPr>
        <w:tabs>
          <w:tab w:val="num" w:pos="3119"/>
        </w:tabs>
        <w:ind w:left="3176" w:hanging="397"/>
      </w:pPr>
      <w:rPr>
        <w:rFonts w:hint="default"/>
      </w:rPr>
    </w:lvl>
    <w:lvl w:ilvl="8">
      <w:start w:val="1"/>
      <w:numFmt w:val="none"/>
      <w:lvlText w:val=""/>
      <w:lvlJc w:val="left"/>
      <w:pPr>
        <w:tabs>
          <w:tab w:val="num" w:pos="3516"/>
        </w:tabs>
        <w:ind w:left="3573" w:hanging="397"/>
      </w:pPr>
      <w:rPr>
        <w:rFonts w:hint="default"/>
      </w:rPr>
    </w:lvl>
  </w:abstractNum>
  <w:abstractNum w:abstractNumId="14" w15:restartNumberingAfterBreak="0">
    <w:nsid w:val="20AE60FC"/>
    <w:multiLevelType w:val="hybridMultilevel"/>
    <w:tmpl w:val="DEB8DFF8"/>
    <w:name w:val="My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6168E4"/>
    <w:multiLevelType w:val="multilevel"/>
    <w:tmpl w:val="D0B8E1FE"/>
    <w:lvl w:ilvl="0">
      <w:start w:val="1"/>
      <w:numFmt w:val="decimal"/>
      <w:pStyle w:val="Table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6B2BDC"/>
    <w:multiLevelType w:val="multilevel"/>
    <w:tmpl w:val="730AE0EA"/>
    <w:name w:val="Bullets"/>
    <w:lvl w:ilvl="0">
      <w:start w:val="1"/>
      <w:numFmt w:val="bullet"/>
      <w:lvlText w:val=""/>
      <w:lvlJc w:val="left"/>
      <w:pPr>
        <w:tabs>
          <w:tab w:val="num" w:pos="284"/>
        </w:tabs>
        <w:ind w:left="284" w:hanging="284"/>
      </w:pPr>
      <w:rPr>
        <w:rFonts w:ascii="Wingdings" w:hAnsi="Wingdings" w:hint="default"/>
        <w:color w:val="00B4EE" w:themeColor="accent1"/>
        <w:position w:val="2"/>
        <w:sz w:val="20"/>
      </w:rPr>
    </w:lvl>
    <w:lvl w:ilvl="1">
      <w:start w:val="1"/>
      <w:numFmt w:val="bullet"/>
      <w:lvlText w:val="–"/>
      <w:lvlJc w:val="left"/>
      <w:pPr>
        <w:tabs>
          <w:tab w:val="num" w:pos="567"/>
        </w:tabs>
        <w:ind w:left="567" w:hanging="283"/>
      </w:pPr>
      <w:rPr>
        <w:rFonts w:ascii="Arial" w:hAnsi="Arial" w:hint="default"/>
        <w:color w:val="00B4EE" w:themeColor="accent1"/>
      </w:rPr>
    </w:lvl>
    <w:lvl w:ilvl="2">
      <w:start w:val="1"/>
      <w:numFmt w:val="bullet"/>
      <w:lvlText w:val="&gt;"/>
      <w:lvlJc w:val="left"/>
      <w:pPr>
        <w:tabs>
          <w:tab w:val="num" w:pos="851"/>
        </w:tabs>
        <w:ind w:left="851" w:hanging="284"/>
      </w:pPr>
      <w:rPr>
        <w:rFonts w:ascii="Arial" w:hAnsi="Arial" w:hint="default"/>
        <w:color w:val="00B4EE"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5BC015D8"/>
    <w:multiLevelType w:val="multilevel"/>
    <w:tmpl w:val="3F3C5EA0"/>
    <w:name w:val="bullets"/>
    <w:lvl w:ilvl="0">
      <w:start w:val="1"/>
      <w:numFmt w:val="bullet"/>
      <w:pStyle w:val="ListBullet"/>
      <w:lvlText w:val="•"/>
      <w:lvlJc w:val="left"/>
      <w:pPr>
        <w:tabs>
          <w:tab w:val="num" w:pos="198"/>
        </w:tabs>
        <w:ind w:left="198" w:hanging="198"/>
      </w:pPr>
      <w:rPr>
        <w:rFonts w:ascii="Calibri" w:hAnsi="Calibri" w:hint="default"/>
      </w:rPr>
    </w:lvl>
    <w:lvl w:ilvl="1">
      <w:start w:val="1"/>
      <w:numFmt w:val="bullet"/>
      <w:pStyle w:val="ListBullet2"/>
      <w:lvlText w:val="–"/>
      <w:lvlJc w:val="left"/>
      <w:pPr>
        <w:tabs>
          <w:tab w:val="num" w:pos="397"/>
        </w:tabs>
        <w:ind w:left="396" w:hanging="198"/>
      </w:pPr>
      <w:rPr>
        <w:rFonts w:ascii="Muli Light" w:hAnsi="Muli Light" w:hint="default"/>
      </w:rPr>
    </w:lvl>
    <w:lvl w:ilvl="2">
      <w:start w:val="1"/>
      <w:numFmt w:val="bullet"/>
      <w:pStyle w:val="ListBullet3"/>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21" w15:restartNumberingAfterBreak="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22" w15:restartNumberingAfterBreak="0">
    <w:nsid w:val="75AD406E"/>
    <w:multiLevelType w:val="hybridMultilevel"/>
    <w:tmpl w:val="A1DE399A"/>
    <w:lvl w:ilvl="0" w:tplc="32EC0C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DB620F"/>
    <w:multiLevelType w:val="multilevel"/>
    <w:tmpl w:val="BD18F922"/>
    <w:lvl w:ilvl="0">
      <w:start w:val="1"/>
      <w:numFmt w:val="none"/>
      <w:suff w:val="space"/>
      <w:lvlText w:val=""/>
      <w:lvlJc w:val="left"/>
      <w:pPr>
        <w:ind w:left="0" w:firstLine="0"/>
      </w:pPr>
      <w:rPr>
        <w:rFonts w:hint="default"/>
      </w:rPr>
    </w:lvl>
    <w:lvl w:ilvl="1">
      <w:start w:val="1"/>
      <w:numFmt w:val="bullet"/>
      <w:lvlText w:val="–"/>
      <w:lvlJc w:val="left"/>
      <w:pPr>
        <w:tabs>
          <w:tab w:val="num" w:pos="340"/>
        </w:tabs>
        <w:ind w:left="340" w:hanging="170"/>
      </w:pPr>
      <w:rPr>
        <w:rFonts w:ascii="Muli Light" w:hAnsi="Muli Light" w:hint="default"/>
      </w:rPr>
    </w:lvl>
    <w:lvl w:ilvl="2">
      <w:start w:val="1"/>
      <w:numFmt w:val="bullet"/>
      <w:lvlText w:val="–"/>
      <w:lvlJc w:val="left"/>
      <w:pPr>
        <w:tabs>
          <w:tab w:val="num" w:pos="510"/>
        </w:tabs>
        <w:ind w:left="510" w:hanging="170"/>
      </w:pPr>
      <w:rPr>
        <w:rFonts w:ascii="Muli Light" w:hAnsi="Muli Light"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6"/>
  </w:num>
  <w:num w:numId="2">
    <w:abstractNumId w:val="11"/>
  </w:num>
  <w:num w:numId="3">
    <w:abstractNumId w:val="24"/>
  </w:num>
  <w:num w:numId="4">
    <w:abstractNumId w:val="17"/>
  </w:num>
  <w:num w:numId="5">
    <w:abstractNumId w:val="10"/>
  </w:num>
  <w:num w:numId="6">
    <w:abstractNumId w:val="19"/>
  </w:num>
  <w:num w:numId="7">
    <w:abstractNumId w:val="3"/>
  </w:num>
  <w:num w:numId="8">
    <w:abstractNumId w:val="9"/>
  </w:num>
  <w:num w:numId="9">
    <w:abstractNumId w:val="8"/>
  </w:num>
  <w:num w:numId="10">
    <w:abstractNumId w:val="2"/>
  </w:num>
  <w:num w:numId="11">
    <w:abstractNumId w:val="13"/>
  </w:num>
  <w:num w:numId="12">
    <w:abstractNumId w:val="18"/>
  </w:num>
  <w:num w:numId="13">
    <w:abstractNumId w:val="7"/>
  </w:num>
  <w:num w:numId="14">
    <w:abstractNumId w:val="6"/>
  </w:num>
  <w:num w:numId="15">
    <w:abstractNumId w:val="9"/>
    <w:lvlOverride w:ilvl="0">
      <w:startOverride w:val="1"/>
    </w:lvlOverride>
  </w:num>
  <w:num w:numId="16">
    <w:abstractNumId w:val="18"/>
  </w:num>
  <w:num w:numId="17">
    <w:abstractNumId w:val="18"/>
  </w:num>
  <w:num w:numId="18">
    <w:abstractNumId w:val="18"/>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3"/>
  </w:num>
  <w:num w:numId="31">
    <w:abstractNumId w:val="23"/>
  </w:num>
  <w:num w:numId="32">
    <w:abstractNumId w:val="2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1"/>
  </w:num>
  <w:num w:numId="36">
    <w:abstractNumId w:val="22"/>
  </w:num>
  <w:num w:numId="37">
    <w:abstractNumId w:val="15"/>
  </w:num>
  <w:num w:numId="3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1F3"/>
    <w:rsid w:val="000023C1"/>
    <w:rsid w:val="0000578C"/>
    <w:rsid w:val="00010362"/>
    <w:rsid w:val="00012493"/>
    <w:rsid w:val="00015395"/>
    <w:rsid w:val="00015489"/>
    <w:rsid w:val="00021629"/>
    <w:rsid w:val="000272F2"/>
    <w:rsid w:val="000340A9"/>
    <w:rsid w:val="00035765"/>
    <w:rsid w:val="00041675"/>
    <w:rsid w:val="00051849"/>
    <w:rsid w:val="000518C8"/>
    <w:rsid w:val="00056673"/>
    <w:rsid w:val="0005760A"/>
    <w:rsid w:val="0005788B"/>
    <w:rsid w:val="000611E9"/>
    <w:rsid w:val="00072C00"/>
    <w:rsid w:val="000767E6"/>
    <w:rsid w:val="0008298C"/>
    <w:rsid w:val="000830C8"/>
    <w:rsid w:val="000846FE"/>
    <w:rsid w:val="000873E7"/>
    <w:rsid w:val="0009559C"/>
    <w:rsid w:val="00095E19"/>
    <w:rsid w:val="000A0633"/>
    <w:rsid w:val="000A3A71"/>
    <w:rsid w:val="000A73E8"/>
    <w:rsid w:val="000B0A34"/>
    <w:rsid w:val="000B5463"/>
    <w:rsid w:val="000B7E9C"/>
    <w:rsid w:val="000C2502"/>
    <w:rsid w:val="000C2C6E"/>
    <w:rsid w:val="000C7DD4"/>
    <w:rsid w:val="000D6E52"/>
    <w:rsid w:val="000D6EA5"/>
    <w:rsid w:val="000D74B5"/>
    <w:rsid w:val="000E076A"/>
    <w:rsid w:val="000E22A7"/>
    <w:rsid w:val="000E46A7"/>
    <w:rsid w:val="000F3CD7"/>
    <w:rsid w:val="000F52FE"/>
    <w:rsid w:val="000F71C6"/>
    <w:rsid w:val="00103137"/>
    <w:rsid w:val="00104560"/>
    <w:rsid w:val="00110B56"/>
    <w:rsid w:val="00114534"/>
    <w:rsid w:val="0011699E"/>
    <w:rsid w:val="00121968"/>
    <w:rsid w:val="00122C88"/>
    <w:rsid w:val="0012356D"/>
    <w:rsid w:val="00126586"/>
    <w:rsid w:val="001359F2"/>
    <w:rsid w:val="0013729F"/>
    <w:rsid w:val="0015135C"/>
    <w:rsid w:val="00152D85"/>
    <w:rsid w:val="00153248"/>
    <w:rsid w:val="001546E5"/>
    <w:rsid w:val="0015593C"/>
    <w:rsid w:val="00171B11"/>
    <w:rsid w:val="0018368D"/>
    <w:rsid w:val="001864B5"/>
    <w:rsid w:val="00191177"/>
    <w:rsid w:val="0019445B"/>
    <w:rsid w:val="001946CF"/>
    <w:rsid w:val="00194A12"/>
    <w:rsid w:val="00196728"/>
    <w:rsid w:val="001A3E10"/>
    <w:rsid w:val="001B0978"/>
    <w:rsid w:val="001B0E1A"/>
    <w:rsid w:val="001B1BE4"/>
    <w:rsid w:val="001B260B"/>
    <w:rsid w:val="001B3939"/>
    <w:rsid w:val="001B547E"/>
    <w:rsid w:val="001C5632"/>
    <w:rsid w:val="001C6741"/>
    <w:rsid w:val="001C6D0A"/>
    <w:rsid w:val="001E07E2"/>
    <w:rsid w:val="001E09AA"/>
    <w:rsid w:val="001E444C"/>
    <w:rsid w:val="001E5696"/>
    <w:rsid w:val="001F09FA"/>
    <w:rsid w:val="001F427B"/>
    <w:rsid w:val="001F5141"/>
    <w:rsid w:val="001F5FFF"/>
    <w:rsid w:val="00201455"/>
    <w:rsid w:val="00205593"/>
    <w:rsid w:val="00206A5B"/>
    <w:rsid w:val="00210D17"/>
    <w:rsid w:val="00213842"/>
    <w:rsid w:val="00214DB3"/>
    <w:rsid w:val="00215F5E"/>
    <w:rsid w:val="00217331"/>
    <w:rsid w:val="00220CCC"/>
    <w:rsid w:val="00221F39"/>
    <w:rsid w:val="00230CF5"/>
    <w:rsid w:val="00240500"/>
    <w:rsid w:val="002417C3"/>
    <w:rsid w:val="002422C3"/>
    <w:rsid w:val="002435F7"/>
    <w:rsid w:val="00250A74"/>
    <w:rsid w:val="00250B0B"/>
    <w:rsid w:val="00250D31"/>
    <w:rsid w:val="00256407"/>
    <w:rsid w:val="00256987"/>
    <w:rsid w:val="00260B9B"/>
    <w:rsid w:val="0026737F"/>
    <w:rsid w:val="00271541"/>
    <w:rsid w:val="0027230C"/>
    <w:rsid w:val="00275B0E"/>
    <w:rsid w:val="0027603E"/>
    <w:rsid w:val="00281D5E"/>
    <w:rsid w:val="00283F8E"/>
    <w:rsid w:val="00284A44"/>
    <w:rsid w:val="002862A5"/>
    <w:rsid w:val="002900A6"/>
    <w:rsid w:val="002914EA"/>
    <w:rsid w:val="002922E2"/>
    <w:rsid w:val="002A1F3D"/>
    <w:rsid w:val="002A29EE"/>
    <w:rsid w:val="002B3442"/>
    <w:rsid w:val="002C3604"/>
    <w:rsid w:val="002C3D86"/>
    <w:rsid w:val="002C720A"/>
    <w:rsid w:val="002D05F0"/>
    <w:rsid w:val="002D2753"/>
    <w:rsid w:val="002D6151"/>
    <w:rsid w:val="002D627C"/>
    <w:rsid w:val="002E0EFD"/>
    <w:rsid w:val="002E1732"/>
    <w:rsid w:val="002E2D7B"/>
    <w:rsid w:val="002F61B9"/>
    <w:rsid w:val="002F6F2F"/>
    <w:rsid w:val="003007A4"/>
    <w:rsid w:val="00306FD8"/>
    <w:rsid w:val="00307A5C"/>
    <w:rsid w:val="00307C95"/>
    <w:rsid w:val="00312DB3"/>
    <w:rsid w:val="003162EE"/>
    <w:rsid w:val="0031759E"/>
    <w:rsid w:val="00317CD3"/>
    <w:rsid w:val="0032261C"/>
    <w:rsid w:val="00324B76"/>
    <w:rsid w:val="0033295D"/>
    <w:rsid w:val="003357C3"/>
    <w:rsid w:val="00343F6C"/>
    <w:rsid w:val="00363D19"/>
    <w:rsid w:val="00366F31"/>
    <w:rsid w:val="0037157C"/>
    <w:rsid w:val="003768E9"/>
    <w:rsid w:val="00386225"/>
    <w:rsid w:val="003937FC"/>
    <w:rsid w:val="00395614"/>
    <w:rsid w:val="00395B75"/>
    <w:rsid w:val="00395FB2"/>
    <w:rsid w:val="003A1C7A"/>
    <w:rsid w:val="003A1DE6"/>
    <w:rsid w:val="003A2B8D"/>
    <w:rsid w:val="003A4730"/>
    <w:rsid w:val="003A6A38"/>
    <w:rsid w:val="003A75BE"/>
    <w:rsid w:val="003B403F"/>
    <w:rsid w:val="003B4FC9"/>
    <w:rsid w:val="003C5A9B"/>
    <w:rsid w:val="003C6210"/>
    <w:rsid w:val="003C6348"/>
    <w:rsid w:val="003D00CA"/>
    <w:rsid w:val="003D282E"/>
    <w:rsid w:val="003D48DA"/>
    <w:rsid w:val="003D720C"/>
    <w:rsid w:val="003E4573"/>
    <w:rsid w:val="003E6C7F"/>
    <w:rsid w:val="003F017A"/>
    <w:rsid w:val="003F3636"/>
    <w:rsid w:val="004004EE"/>
    <w:rsid w:val="00406F2C"/>
    <w:rsid w:val="0041053A"/>
    <w:rsid w:val="00411F2C"/>
    <w:rsid w:val="0041214E"/>
    <w:rsid w:val="0042172C"/>
    <w:rsid w:val="00423980"/>
    <w:rsid w:val="00426496"/>
    <w:rsid w:val="00432C90"/>
    <w:rsid w:val="00436650"/>
    <w:rsid w:val="0043698E"/>
    <w:rsid w:val="00444C5F"/>
    <w:rsid w:val="004470FA"/>
    <w:rsid w:val="00447B04"/>
    <w:rsid w:val="00456338"/>
    <w:rsid w:val="004568F3"/>
    <w:rsid w:val="00462820"/>
    <w:rsid w:val="00466A5F"/>
    <w:rsid w:val="0048346E"/>
    <w:rsid w:val="00484C6E"/>
    <w:rsid w:val="004853D9"/>
    <w:rsid w:val="0048747B"/>
    <w:rsid w:val="00487805"/>
    <w:rsid w:val="00490898"/>
    <w:rsid w:val="0049166C"/>
    <w:rsid w:val="0049315B"/>
    <w:rsid w:val="00494757"/>
    <w:rsid w:val="00495432"/>
    <w:rsid w:val="00497D9D"/>
    <w:rsid w:val="004A1855"/>
    <w:rsid w:val="004A1ADD"/>
    <w:rsid w:val="004A4AE1"/>
    <w:rsid w:val="004B497A"/>
    <w:rsid w:val="004C1C7C"/>
    <w:rsid w:val="004C34A2"/>
    <w:rsid w:val="004C5421"/>
    <w:rsid w:val="004D13DC"/>
    <w:rsid w:val="004D392B"/>
    <w:rsid w:val="004E0DF1"/>
    <w:rsid w:val="004E1E84"/>
    <w:rsid w:val="004E2D34"/>
    <w:rsid w:val="004E307E"/>
    <w:rsid w:val="004E3189"/>
    <w:rsid w:val="004E57CE"/>
    <w:rsid w:val="004E735A"/>
    <w:rsid w:val="004F3D95"/>
    <w:rsid w:val="004F46FF"/>
    <w:rsid w:val="004F52AC"/>
    <w:rsid w:val="00504535"/>
    <w:rsid w:val="00504867"/>
    <w:rsid w:val="00506494"/>
    <w:rsid w:val="005129D9"/>
    <w:rsid w:val="00512BC7"/>
    <w:rsid w:val="0051345A"/>
    <w:rsid w:val="00523A60"/>
    <w:rsid w:val="00531BEE"/>
    <w:rsid w:val="00534EDB"/>
    <w:rsid w:val="005353AA"/>
    <w:rsid w:val="00542638"/>
    <w:rsid w:val="00552ED1"/>
    <w:rsid w:val="00555916"/>
    <w:rsid w:val="005562F1"/>
    <w:rsid w:val="00557B84"/>
    <w:rsid w:val="00561C65"/>
    <w:rsid w:val="00563121"/>
    <w:rsid w:val="00585605"/>
    <w:rsid w:val="00585D95"/>
    <w:rsid w:val="00595475"/>
    <w:rsid w:val="00595895"/>
    <w:rsid w:val="005A1A8D"/>
    <w:rsid w:val="005B374E"/>
    <w:rsid w:val="005B4482"/>
    <w:rsid w:val="005B4DB7"/>
    <w:rsid w:val="005B7F2F"/>
    <w:rsid w:val="005C11CA"/>
    <w:rsid w:val="005C1651"/>
    <w:rsid w:val="005C428F"/>
    <w:rsid w:val="005D35B0"/>
    <w:rsid w:val="005D47B0"/>
    <w:rsid w:val="005D4B4A"/>
    <w:rsid w:val="005D698B"/>
    <w:rsid w:val="005E0A35"/>
    <w:rsid w:val="005E5955"/>
    <w:rsid w:val="005F0D4E"/>
    <w:rsid w:val="005F5864"/>
    <w:rsid w:val="00607FD8"/>
    <w:rsid w:val="0061505F"/>
    <w:rsid w:val="0061751B"/>
    <w:rsid w:val="0062297D"/>
    <w:rsid w:val="006251CD"/>
    <w:rsid w:val="00627D1D"/>
    <w:rsid w:val="006338FE"/>
    <w:rsid w:val="00634604"/>
    <w:rsid w:val="00637F41"/>
    <w:rsid w:val="00645D96"/>
    <w:rsid w:val="006519E0"/>
    <w:rsid w:val="0065494F"/>
    <w:rsid w:val="0065589F"/>
    <w:rsid w:val="006608C0"/>
    <w:rsid w:val="00662EC6"/>
    <w:rsid w:val="00667415"/>
    <w:rsid w:val="006721D9"/>
    <w:rsid w:val="00676B87"/>
    <w:rsid w:val="00677EE0"/>
    <w:rsid w:val="00680DFB"/>
    <w:rsid w:val="00683EFD"/>
    <w:rsid w:val="0068456E"/>
    <w:rsid w:val="00692792"/>
    <w:rsid w:val="00692944"/>
    <w:rsid w:val="0069541E"/>
    <w:rsid w:val="006959DD"/>
    <w:rsid w:val="006A0287"/>
    <w:rsid w:val="006A11F5"/>
    <w:rsid w:val="006A1C58"/>
    <w:rsid w:val="006A2BF7"/>
    <w:rsid w:val="006B086C"/>
    <w:rsid w:val="006B5921"/>
    <w:rsid w:val="006B5B56"/>
    <w:rsid w:val="006C10BC"/>
    <w:rsid w:val="006C596B"/>
    <w:rsid w:val="006C7C0D"/>
    <w:rsid w:val="006D39B9"/>
    <w:rsid w:val="006D6DD1"/>
    <w:rsid w:val="006E58AA"/>
    <w:rsid w:val="006E6E31"/>
    <w:rsid w:val="006E7C18"/>
    <w:rsid w:val="006F0469"/>
    <w:rsid w:val="006F265E"/>
    <w:rsid w:val="006F2C20"/>
    <w:rsid w:val="007003CF"/>
    <w:rsid w:val="00701084"/>
    <w:rsid w:val="00701A83"/>
    <w:rsid w:val="00702575"/>
    <w:rsid w:val="0070261A"/>
    <w:rsid w:val="00703498"/>
    <w:rsid w:val="00705838"/>
    <w:rsid w:val="0070694E"/>
    <w:rsid w:val="00706BE0"/>
    <w:rsid w:val="00710616"/>
    <w:rsid w:val="00712E1C"/>
    <w:rsid w:val="00717673"/>
    <w:rsid w:val="007259CC"/>
    <w:rsid w:val="00730BC4"/>
    <w:rsid w:val="007317F5"/>
    <w:rsid w:val="00733A9F"/>
    <w:rsid w:val="00735058"/>
    <w:rsid w:val="007370F8"/>
    <w:rsid w:val="00742416"/>
    <w:rsid w:val="00743140"/>
    <w:rsid w:val="00746CAB"/>
    <w:rsid w:val="00754905"/>
    <w:rsid w:val="007641F5"/>
    <w:rsid w:val="00765E2C"/>
    <w:rsid w:val="00773F6E"/>
    <w:rsid w:val="00774933"/>
    <w:rsid w:val="007755BA"/>
    <w:rsid w:val="0077640A"/>
    <w:rsid w:val="00781A61"/>
    <w:rsid w:val="00783165"/>
    <w:rsid w:val="007861DF"/>
    <w:rsid w:val="00787A5E"/>
    <w:rsid w:val="00790D82"/>
    <w:rsid w:val="007A1CDE"/>
    <w:rsid w:val="007A4A19"/>
    <w:rsid w:val="007A7DD9"/>
    <w:rsid w:val="007B07C1"/>
    <w:rsid w:val="007B12C6"/>
    <w:rsid w:val="007B4AD7"/>
    <w:rsid w:val="007C0A4C"/>
    <w:rsid w:val="007C1EB3"/>
    <w:rsid w:val="007C5426"/>
    <w:rsid w:val="007C5AF5"/>
    <w:rsid w:val="007C5D2E"/>
    <w:rsid w:val="007D1931"/>
    <w:rsid w:val="007D5312"/>
    <w:rsid w:val="007E0193"/>
    <w:rsid w:val="007E23B9"/>
    <w:rsid w:val="007E34EA"/>
    <w:rsid w:val="007E4611"/>
    <w:rsid w:val="007E6D2F"/>
    <w:rsid w:val="007F05D2"/>
    <w:rsid w:val="0080129E"/>
    <w:rsid w:val="008046A0"/>
    <w:rsid w:val="008066AA"/>
    <w:rsid w:val="008169A6"/>
    <w:rsid w:val="00830EAA"/>
    <w:rsid w:val="0083162B"/>
    <w:rsid w:val="008330B4"/>
    <w:rsid w:val="0084078A"/>
    <w:rsid w:val="0084194C"/>
    <w:rsid w:val="00841D8C"/>
    <w:rsid w:val="008428C4"/>
    <w:rsid w:val="008429D4"/>
    <w:rsid w:val="00847D90"/>
    <w:rsid w:val="00852D24"/>
    <w:rsid w:val="00854CEA"/>
    <w:rsid w:val="008616F3"/>
    <w:rsid w:val="00862661"/>
    <w:rsid w:val="00864767"/>
    <w:rsid w:val="00864EBB"/>
    <w:rsid w:val="00870746"/>
    <w:rsid w:val="00870823"/>
    <w:rsid w:val="0087344F"/>
    <w:rsid w:val="00881C44"/>
    <w:rsid w:val="008832AA"/>
    <w:rsid w:val="008B12C3"/>
    <w:rsid w:val="008B1448"/>
    <w:rsid w:val="008B2A9A"/>
    <w:rsid w:val="008B54FC"/>
    <w:rsid w:val="008D5F8A"/>
    <w:rsid w:val="008E13E8"/>
    <w:rsid w:val="008E31E1"/>
    <w:rsid w:val="008F3B94"/>
    <w:rsid w:val="008F5002"/>
    <w:rsid w:val="008F6661"/>
    <w:rsid w:val="00903687"/>
    <w:rsid w:val="009073C5"/>
    <w:rsid w:val="00910D31"/>
    <w:rsid w:val="009115AB"/>
    <w:rsid w:val="00912336"/>
    <w:rsid w:val="00922658"/>
    <w:rsid w:val="00922F59"/>
    <w:rsid w:val="00930869"/>
    <w:rsid w:val="00931594"/>
    <w:rsid w:val="0093235E"/>
    <w:rsid w:val="00935E57"/>
    <w:rsid w:val="00937703"/>
    <w:rsid w:val="0093771A"/>
    <w:rsid w:val="00945296"/>
    <w:rsid w:val="0094605E"/>
    <w:rsid w:val="0095388E"/>
    <w:rsid w:val="00953ABE"/>
    <w:rsid w:val="00954C94"/>
    <w:rsid w:val="00963ABA"/>
    <w:rsid w:val="00970733"/>
    <w:rsid w:val="00971677"/>
    <w:rsid w:val="00972889"/>
    <w:rsid w:val="009728F2"/>
    <w:rsid w:val="009767EB"/>
    <w:rsid w:val="00981378"/>
    <w:rsid w:val="0098415F"/>
    <w:rsid w:val="00984A8A"/>
    <w:rsid w:val="00986C85"/>
    <w:rsid w:val="0099042F"/>
    <w:rsid w:val="00994CB7"/>
    <w:rsid w:val="00995A1B"/>
    <w:rsid w:val="009976E0"/>
    <w:rsid w:val="009A2615"/>
    <w:rsid w:val="009A2FBA"/>
    <w:rsid w:val="009A38C0"/>
    <w:rsid w:val="009B024C"/>
    <w:rsid w:val="009B2EB5"/>
    <w:rsid w:val="009B5347"/>
    <w:rsid w:val="009B5D92"/>
    <w:rsid w:val="009C5C32"/>
    <w:rsid w:val="009D6278"/>
    <w:rsid w:val="009E0153"/>
    <w:rsid w:val="009E155D"/>
    <w:rsid w:val="009E3888"/>
    <w:rsid w:val="009E4906"/>
    <w:rsid w:val="009F0216"/>
    <w:rsid w:val="009F25EE"/>
    <w:rsid w:val="009F44CD"/>
    <w:rsid w:val="00A01D7D"/>
    <w:rsid w:val="00A02A49"/>
    <w:rsid w:val="00A02F5D"/>
    <w:rsid w:val="00A12C87"/>
    <w:rsid w:val="00A15D80"/>
    <w:rsid w:val="00A15EF9"/>
    <w:rsid w:val="00A17099"/>
    <w:rsid w:val="00A20FED"/>
    <w:rsid w:val="00A22E6E"/>
    <w:rsid w:val="00A24C55"/>
    <w:rsid w:val="00A26D88"/>
    <w:rsid w:val="00A27EBF"/>
    <w:rsid w:val="00A27EC2"/>
    <w:rsid w:val="00A321F3"/>
    <w:rsid w:val="00A33B33"/>
    <w:rsid w:val="00A377BC"/>
    <w:rsid w:val="00A3789C"/>
    <w:rsid w:val="00A37C70"/>
    <w:rsid w:val="00A41F86"/>
    <w:rsid w:val="00A4340C"/>
    <w:rsid w:val="00A44629"/>
    <w:rsid w:val="00A4757E"/>
    <w:rsid w:val="00A4776F"/>
    <w:rsid w:val="00A529E9"/>
    <w:rsid w:val="00A54310"/>
    <w:rsid w:val="00A61E23"/>
    <w:rsid w:val="00A6659F"/>
    <w:rsid w:val="00A74C77"/>
    <w:rsid w:val="00A75C29"/>
    <w:rsid w:val="00A82BB2"/>
    <w:rsid w:val="00A83926"/>
    <w:rsid w:val="00A855D3"/>
    <w:rsid w:val="00A93988"/>
    <w:rsid w:val="00A93C0B"/>
    <w:rsid w:val="00A97124"/>
    <w:rsid w:val="00AA03D7"/>
    <w:rsid w:val="00AA751F"/>
    <w:rsid w:val="00AB458A"/>
    <w:rsid w:val="00AB4A85"/>
    <w:rsid w:val="00AB5839"/>
    <w:rsid w:val="00AC0510"/>
    <w:rsid w:val="00AC1E0E"/>
    <w:rsid w:val="00AC21B9"/>
    <w:rsid w:val="00AC6B95"/>
    <w:rsid w:val="00AD38E4"/>
    <w:rsid w:val="00AD440A"/>
    <w:rsid w:val="00AD45EE"/>
    <w:rsid w:val="00AD4E4D"/>
    <w:rsid w:val="00AD4F3E"/>
    <w:rsid w:val="00AE2436"/>
    <w:rsid w:val="00AE5FC8"/>
    <w:rsid w:val="00AE76BF"/>
    <w:rsid w:val="00AF214F"/>
    <w:rsid w:val="00AF386C"/>
    <w:rsid w:val="00B01BDD"/>
    <w:rsid w:val="00B03C9D"/>
    <w:rsid w:val="00B04090"/>
    <w:rsid w:val="00B04F66"/>
    <w:rsid w:val="00B118A3"/>
    <w:rsid w:val="00B14589"/>
    <w:rsid w:val="00B15409"/>
    <w:rsid w:val="00B20409"/>
    <w:rsid w:val="00B21E43"/>
    <w:rsid w:val="00B21E88"/>
    <w:rsid w:val="00B21F67"/>
    <w:rsid w:val="00B21F6A"/>
    <w:rsid w:val="00B26757"/>
    <w:rsid w:val="00B32E22"/>
    <w:rsid w:val="00B3440D"/>
    <w:rsid w:val="00B35C8C"/>
    <w:rsid w:val="00B43144"/>
    <w:rsid w:val="00B47952"/>
    <w:rsid w:val="00B50EB7"/>
    <w:rsid w:val="00B5359B"/>
    <w:rsid w:val="00B60B0E"/>
    <w:rsid w:val="00B60F65"/>
    <w:rsid w:val="00B653DF"/>
    <w:rsid w:val="00B67069"/>
    <w:rsid w:val="00B67D19"/>
    <w:rsid w:val="00B72E76"/>
    <w:rsid w:val="00B7301C"/>
    <w:rsid w:val="00B734A1"/>
    <w:rsid w:val="00B77263"/>
    <w:rsid w:val="00B80B96"/>
    <w:rsid w:val="00B8315B"/>
    <w:rsid w:val="00B85B84"/>
    <w:rsid w:val="00B90D41"/>
    <w:rsid w:val="00B95649"/>
    <w:rsid w:val="00B9575B"/>
    <w:rsid w:val="00B97711"/>
    <w:rsid w:val="00BA0A5C"/>
    <w:rsid w:val="00BA1870"/>
    <w:rsid w:val="00BA3AD2"/>
    <w:rsid w:val="00BA540D"/>
    <w:rsid w:val="00BB105F"/>
    <w:rsid w:val="00BB17CB"/>
    <w:rsid w:val="00BB1ADB"/>
    <w:rsid w:val="00BB4393"/>
    <w:rsid w:val="00BD2821"/>
    <w:rsid w:val="00BE199D"/>
    <w:rsid w:val="00BE1CD2"/>
    <w:rsid w:val="00BE5C05"/>
    <w:rsid w:val="00BF3A65"/>
    <w:rsid w:val="00BF3F49"/>
    <w:rsid w:val="00C04A64"/>
    <w:rsid w:val="00C04F80"/>
    <w:rsid w:val="00C05C35"/>
    <w:rsid w:val="00C07297"/>
    <w:rsid w:val="00C1594A"/>
    <w:rsid w:val="00C162F8"/>
    <w:rsid w:val="00C21EBD"/>
    <w:rsid w:val="00C223F7"/>
    <w:rsid w:val="00C25111"/>
    <w:rsid w:val="00C303C2"/>
    <w:rsid w:val="00C34ACD"/>
    <w:rsid w:val="00C34DD9"/>
    <w:rsid w:val="00C35415"/>
    <w:rsid w:val="00C372AB"/>
    <w:rsid w:val="00C424D2"/>
    <w:rsid w:val="00C445B4"/>
    <w:rsid w:val="00C45533"/>
    <w:rsid w:val="00C46957"/>
    <w:rsid w:val="00C5027F"/>
    <w:rsid w:val="00C513DF"/>
    <w:rsid w:val="00C559D8"/>
    <w:rsid w:val="00C57A59"/>
    <w:rsid w:val="00C6312A"/>
    <w:rsid w:val="00C73186"/>
    <w:rsid w:val="00C73616"/>
    <w:rsid w:val="00C7497D"/>
    <w:rsid w:val="00C76782"/>
    <w:rsid w:val="00C7698C"/>
    <w:rsid w:val="00C807A8"/>
    <w:rsid w:val="00C815F2"/>
    <w:rsid w:val="00C851C0"/>
    <w:rsid w:val="00C85B0C"/>
    <w:rsid w:val="00C86E4D"/>
    <w:rsid w:val="00C877ED"/>
    <w:rsid w:val="00C900B1"/>
    <w:rsid w:val="00C9089B"/>
    <w:rsid w:val="00C911BB"/>
    <w:rsid w:val="00C92A74"/>
    <w:rsid w:val="00C94E7F"/>
    <w:rsid w:val="00CA3449"/>
    <w:rsid w:val="00CA7121"/>
    <w:rsid w:val="00CA7859"/>
    <w:rsid w:val="00CB1160"/>
    <w:rsid w:val="00CB6F87"/>
    <w:rsid w:val="00CC3035"/>
    <w:rsid w:val="00CC3849"/>
    <w:rsid w:val="00CD28DD"/>
    <w:rsid w:val="00CD4B89"/>
    <w:rsid w:val="00CD7461"/>
    <w:rsid w:val="00CE0BDC"/>
    <w:rsid w:val="00CE2F73"/>
    <w:rsid w:val="00CE604F"/>
    <w:rsid w:val="00CE6C8C"/>
    <w:rsid w:val="00CF0500"/>
    <w:rsid w:val="00CF2B50"/>
    <w:rsid w:val="00CF4D46"/>
    <w:rsid w:val="00CF54C2"/>
    <w:rsid w:val="00D02339"/>
    <w:rsid w:val="00D034A7"/>
    <w:rsid w:val="00D04820"/>
    <w:rsid w:val="00D06AD4"/>
    <w:rsid w:val="00D10B3F"/>
    <w:rsid w:val="00D17B78"/>
    <w:rsid w:val="00D20106"/>
    <w:rsid w:val="00D20815"/>
    <w:rsid w:val="00D24945"/>
    <w:rsid w:val="00D25E5E"/>
    <w:rsid w:val="00D26389"/>
    <w:rsid w:val="00D30873"/>
    <w:rsid w:val="00D335CF"/>
    <w:rsid w:val="00D34E89"/>
    <w:rsid w:val="00D3557F"/>
    <w:rsid w:val="00D37654"/>
    <w:rsid w:val="00D43254"/>
    <w:rsid w:val="00D4402F"/>
    <w:rsid w:val="00D46BB0"/>
    <w:rsid w:val="00D52465"/>
    <w:rsid w:val="00D6377E"/>
    <w:rsid w:val="00D64540"/>
    <w:rsid w:val="00D6642E"/>
    <w:rsid w:val="00D72DB9"/>
    <w:rsid w:val="00D7569B"/>
    <w:rsid w:val="00D85794"/>
    <w:rsid w:val="00D90123"/>
    <w:rsid w:val="00D914F2"/>
    <w:rsid w:val="00D918DE"/>
    <w:rsid w:val="00D91CAC"/>
    <w:rsid w:val="00D93B10"/>
    <w:rsid w:val="00D94981"/>
    <w:rsid w:val="00D9508E"/>
    <w:rsid w:val="00DA45C8"/>
    <w:rsid w:val="00DB0119"/>
    <w:rsid w:val="00DB03DC"/>
    <w:rsid w:val="00DB2401"/>
    <w:rsid w:val="00DB329F"/>
    <w:rsid w:val="00DB5D80"/>
    <w:rsid w:val="00DB6164"/>
    <w:rsid w:val="00DB63C0"/>
    <w:rsid w:val="00DC038A"/>
    <w:rsid w:val="00DC6238"/>
    <w:rsid w:val="00DC6E85"/>
    <w:rsid w:val="00DC7FF7"/>
    <w:rsid w:val="00DD27FD"/>
    <w:rsid w:val="00DD4001"/>
    <w:rsid w:val="00DD5283"/>
    <w:rsid w:val="00DD5FD9"/>
    <w:rsid w:val="00DD765B"/>
    <w:rsid w:val="00DE0466"/>
    <w:rsid w:val="00DE0904"/>
    <w:rsid w:val="00DE20AE"/>
    <w:rsid w:val="00DE2A56"/>
    <w:rsid w:val="00DE648B"/>
    <w:rsid w:val="00DE671C"/>
    <w:rsid w:val="00DF031F"/>
    <w:rsid w:val="00DF1357"/>
    <w:rsid w:val="00DF43C8"/>
    <w:rsid w:val="00DF5912"/>
    <w:rsid w:val="00DF59B9"/>
    <w:rsid w:val="00DF669F"/>
    <w:rsid w:val="00E1112D"/>
    <w:rsid w:val="00E1361A"/>
    <w:rsid w:val="00E20F8F"/>
    <w:rsid w:val="00E23E90"/>
    <w:rsid w:val="00E26469"/>
    <w:rsid w:val="00E26BAA"/>
    <w:rsid w:val="00E30C03"/>
    <w:rsid w:val="00E32337"/>
    <w:rsid w:val="00E33C5A"/>
    <w:rsid w:val="00E3775C"/>
    <w:rsid w:val="00E40337"/>
    <w:rsid w:val="00E4067B"/>
    <w:rsid w:val="00E46C48"/>
    <w:rsid w:val="00E51F76"/>
    <w:rsid w:val="00E52EEE"/>
    <w:rsid w:val="00E64FA8"/>
    <w:rsid w:val="00E7047F"/>
    <w:rsid w:val="00E71737"/>
    <w:rsid w:val="00E75FD9"/>
    <w:rsid w:val="00E760E0"/>
    <w:rsid w:val="00E7768B"/>
    <w:rsid w:val="00E8179E"/>
    <w:rsid w:val="00E82A24"/>
    <w:rsid w:val="00E8404A"/>
    <w:rsid w:val="00E85B22"/>
    <w:rsid w:val="00E95F23"/>
    <w:rsid w:val="00E96E92"/>
    <w:rsid w:val="00EA1085"/>
    <w:rsid w:val="00EA2640"/>
    <w:rsid w:val="00EA40AC"/>
    <w:rsid w:val="00EB082E"/>
    <w:rsid w:val="00EB134B"/>
    <w:rsid w:val="00EB4577"/>
    <w:rsid w:val="00EB47A8"/>
    <w:rsid w:val="00EB7290"/>
    <w:rsid w:val="00EC1D8C"/>
    <w:rsid w:val="00EC4360"/>
    <w:rsid w:val="00ED14CD"/>
    <w:rsid w:val="00ED3653"/>
    <w:rsid w:val="00ED47A9"/>
    <w:rsid w:val="00EE7207"/>
    <w:rsid w:val="00EF31D4"/>
    <w:rsid w:val="00EF6258"/>
    <w:rsid w:val="00EF6E8B"/>
    <w:rsid w:val="00EF7C07"/>
    <w:rsid w:val="00F00884"/>
    <w:rsid w:val="00F023C8"/>
    <w:rsid w:val="00F04026"/>
    <w:rsid w:val="00F10769"/>
    <w:rsid w:val="00F14500"/>
    <w:rsid w:val="00F21594"/>
    <w:rsid w:val="00F219C5"/>
    <w:rsid w:val="00F22B02"/>
    <w:rsid w:val="00F232F4"/>
    <w:rsid w:val="00F23E40"/>
    <w:rsid w:val="00F32305"/>
    <w:rsid w:val="00F33B65"/>
    <w:rsid w:val="00F344F5"/>
    <w:rsid w:val="00F51B2F"/>
    <w:rsid w:val="00F53D12"/>
    <w:rsid w:val="00F53EC4"/>
    <w:rsid w:val="00F60A8F"/>
    <w:rsid w:val="00F60DB9"/>
    <w:rsid w:val="00F65C1E"/>
    <w:rsid w:val="00F65F0D"/>
    <w:rsid w:val="00F70426"/>
    <w:rsid w:val="00F72FE3"/>
    <w:rsid w:val="00F731A4"/>
    <w:rsid w:val="00F74686"/>
    <w:rsid w:val="00F757B1"/>
    <w:rsid w:val="00F80344"/>
    <w:rsid w:val="00F8171D"/>
    <w:rsid w:val="00F85E5B"/>
    <w:rsid w:val="00F9166C"/>
    <w:rsid w:val="00F926CF"/>
    <w:rsid w:val="00F938C2"/>
    <w:rsid w:val="00F93C8D"/>
    <w:rsid w:val="00F942E8"/>
    <w:rsid w:val="00F947F4"/>
    <w:rsid w:val="00FA3EEC"/>
    <w:rsid w:val="00FA751C"/>
    <w:rsid w:val="00FA77C1"/>
    <w:rsid w:val="00FB175A"/>
    <w:rsid w:val="00FB61A9"/>
    <w:rsid w:val="00FC4BBB"/>
    <w:rsid w:val="00FD1ED4"/>
    <w:rsid w:val="00FD2407"/>
    <w:rsid w:val="00FD306A"/>
    <w:rsid w:val="00FD36D9"/>
    <w:rsid w:val="00FD57F5"/>
    <w:rsid w:val="00FD74AD"/>
    <w:rsid w:val="00FD7DC7"/>
    <w:rsid w:val="00FD7E58"/>
    <w:rsid w:val="00FE0A31"/>
    <w:rsid w:val="00FE0DB5"/>
    <w:rsid w:val="00FE1E37"/>
    <w:rsid w:val="00FE3EEB"/>
    <w:rsid w:val="00FE446D"/>
    <w:rsid w:val="00FE697B"/>
    <w:rsid w:val="00FE75DF"/>
    <w:rsid w:val="00FF23FF"/>
    <w:rsid w:val="00FF6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132852D-F38E-4EF3-9DBB-10FA67F17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lang w:val="en-AU" w:eastAsia="en-AU" w:bidi="ar-SA"/>
      </w:rPr>
    </w:rPrDefault>
    <w:pPrDefault>
      <w:pPr>
        <w:spacing w:before="60" w:after="80" w:line="233"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5DF"/>
  </w:style>
  <w:style w:type="paragraph" w:styleId="Heading1">
    <w:name w:val="heading 1"/>
    <w:basedOn w:val="BodyText"/>
    <w:next w:val="Normal"/>
    <w:qFormat/>
    <w:rsid w:val="00BE5C05"/>
    <w:pPr>
      <w:keepNext/>
      <w:spacing w:before="320" w:after="240" w:line="204" w:lineRule="auto"/>
      <w:outlineLvl w:val="0"/>
    </w:pPr>
    <w:rPr>
      <w:rFonts w:asciiTheme="majorHAnsi" w:hAnsiTheme="majorHAnsi"/>
      <w:b/>
      <w:color w:val="00B4EE" w:themeColor="accent1"/>
      <w:spacing w:val="-2"/>
      <w:sz w:val="46"/>
    </w:rPr>
  </w:style>
  <w:style w:type="paragraph" w:styleId="Heading2">
    <w:name w:val="heading 2"/>
    <w:basedOn w:val="BodyText"/>
    <w:next w:val="Normal"/>
    <w:qFormat/>
    <w:rsid w:val="006959DD"/>
    <w:pPr>
      <w:keepNext/>
      <w:spacing w:before="240"/>
      <w:outlineLvl w:val="1"/>
    </w:pPr>
    <w:rPr>
      <w:color w:val="006CCD" w:themeColor="accent2"/>
      <w:sz w:val="26"/>
    </w:rPr>
  </w:style>
  <w:style w:type="paragraph" w:styleId="Heading3">
    <w:name w:val="heading 3"/>
    <w:basedOn w:val="Normal"/>
    <w:next w:val="Normal"/>
    <w:qFormat/>
    <w:rsid w:val="00BE5C05"/>
    <w:pPr>
      <w:keepNext/>
      <w:spacing w:before="280" w:after="60"/>
      <w:outlineLvl w:val="2"/>
    </w:pPr>
    <w:rPr>
      <w:rFonts w:asciiTheme="majorHAnsi" w:hAnsiTheme="majorHAnsi"/>
      <w:b/>
      <w:color w:val="00B4EE" w:themeColor="accent1"/>
    </w:rPr>
  </w:style>
  <w:style w:type="paragraph" w:styleId="Heading4">
    <w:name w:val="heading 4"/>
    <w:basedOn w:val="Normal"/>
    <w:next w:val="Normal"/>
    <w:qFormat/>
    <w:rsid w:val="00D4402F"/>
    <w:pPr>
      <w:keepNext/>
      <w:spacing w:before="100" w:after="0"/>
      <w:outlineLvl w:val="3"/>
    </w:pPr>
    <w:rPr>
      <w:rFonts w:asciiTheme="majorHAnsi" w:hAnsiTheme="majorHAnsi"/>
      <w:b/>
      <w:bCs/>
      <w:color w:val="000000" w:themeColor="text1"/>
      <w:szCs w:val="28"/>
    </w:rPr>
  </w:style>
  <w:style w:type="paragraph" w:styleId="Heading5">
    <w:name w:val="heading 5"/>
    <w:basedOn w:val="Normal"/>
    <w:next w:val="Caption"/>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30B4"/>
    <w:pPr>
      <w:spacing w:before="0" w:after="0"/>
    </w:pPr>
    <w:rPr>
      <w:sz w:val="18"/>
    </w:rPr>
  </w:style>
  <w:style w:type="character" w:customStyle="1" w:styleId="HeaderChar">
    <w:name w:val="Header Char"/>
    <w:basedOn w:val="DefaultParagraphFont"/>
    <w:link w:val="Header"/>
    <w:uiPriority w:val="99"/>
    <w:rsid w:val="008330B4"/>
    <w:rPr>
      <w:sz w:val="18"/>
    </w:rPr>
  </w:style>
  <w:style w:type="paragraph" w:styleId="Footer">
    <w:name w:val="footer"/>
    <w:basedOn w:val="Normal"/>
    <w:link w:val="FooterChar"/>
    <w:uiPriority w:val="99"/>
    <w:rsid w:val="00BE5C05"/>
    <w:pPr>
      <w:spacing w:after="0" w:line="160" w:lineRule="exact"/>
    </w:pPr>
    <w:rPr>
      <w:rFonts w:asciiTheme="majorHAnsi" w:hAnsiTheme="majorHAnsi"/>
      <w:color w:val="676464"/>
      <w:sz w:val="16"/>
    </w:rPr>
  </w:style>
  <w:style w:type="character" w:styleId="Hyperlink">
    <w:name w:val="Hyperlink"/>
    <w:basedOn w:val="DefaultParagraphFont"/>
    <w:uiPriority w:val="99"/>
    <w:unhideWhenUsed/>
    <w:rsid w:val="00213842"/>
    <w:rPr>
      <w:color w:val="184398" w:themeColor="hyperlink"/>
      <w:u w:val="single"/>
    </w:rPr>
  </w:style>
  <w:style w:type="paragraph" w:styleId="TOCHeading">
    <w:name w:val="TOC Heading"/>
    <w:basedOn w:val="Normal"/>
    <w:next w:val="Normal"/>
    <w:uiPriority w:val="39"/>
    <w:unhideWhenUsed/>
    <w:qFormat/>
    <w:rsid w:val="00BE5C05"/>
    <w:pPr>
      <w:keepLines/>
      <w:spacing w:before="0" w:after="480" w:line="204" w:lineRule="auto"/>
    </w:pPr>
    <w:rPr>
      <w:rFonts w:asciiTheme="majorHAnsi" w:eastAsiaTheme="majorEastAsia" w:hAnsiTheme="majorHAnsi" w:cstheme="majorBidi"/>
      <w:b/>
      <w:color w:val="00B4EE" w:themeColor="accent1"/>
      <w:sz w:val="46"/>
      <w:szCs w:val="32"/>
    </w:rPr>
  </w:style>
  <w:style w:type="character" w:customStyle="1" w:styleId="FooterChar">
    <w:name w:val="Footer Char"/>
    <w:basedOn w:val="DefaultParagraphFont"/>
    <w:link w:val="Footer"/>
    <w:uiPriority w:val="99"/>
    <w:rsid w:val="00BE5C05"/>
    <w:rPr>
      <w:rFonts w:asciiTheme="majorHAnsi" w:hAnsiTheme="majorHAnsi"/>
      <w:color w:val="676464"/>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3A4730"/>
    <w:pPr>
      <w:spacing w:before="120"/>
      <w:ind w:left="397"/>
    </w:pPr>
  </w:style>
  <w:style w:type="paragraph" w:styleId="ListContinue2">
    <w:name w:val="List Continue 2"/>
    <w:basedOn w:val="Normal"/>
    <w:link w:val="ListContinue2Char"/>
    <w:rsid w:val="003A4730"/>
    <w:pPr>
      <w:spacing w:before="120"/>
      <w:ind w:left="794"/>
    </w:pPr>
  </w:style>
  <w:style w:type="character" w:customStyle="1" w:styleId="ListContinue2Char">
    <w:name w:val="List Continue 2 Char"/>
    <w:basedOn w:val="DefaultParagraphFont"/>
    <w:link w:val="ListContinue2"/>
    <w:rsid w:val="003A4730"/>
  </w:style>
  <w:style w:type="paragraph" w:styleId="ListContinue3">
    <w:name w:val="List Continue 3"/>
    <w:basedOn w:val="ListContinue2"/>
    <w:link w:val="ListContinue3Char"/>
    <w:semiHidden/>
    <w:rsid w:val="00FD57F5"/>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504867"/>
    <w:pPr>
      <w:spacing w:before="120" w:after="120"/>
    </w:pPr>
    <w:tblPr>
      <w:tblStyleRowBandSize w:val="1"/>
      <w:tblStyleCol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F1F2F2" w:themeFill="background2"/>
    </w:tcPr>
    <w:tblStylePr w:type="firstRow">
      <w:pPr>
        <w:wordWrap/>
        <w:spacing w:beforeLines="0" w:before="0" w:beforeAutospacing="0" w:afterLines="0" w:after="0" w:afterAutospacing="0" w:line="233" w:lineRule="auto"/>
      </w:pPr>
      <w:rPr>
        <w:rFonts w:asciiTheme="majorHAnsi" w:hAnsiTheme="majorHAnsi"/>
        <w:b/>
        <w:color w:val="FFFFFF" w:themeColor="background1"/>
        <w:spacing w:val="0"/>
        <w:sz w:val="20"/>
      </w:rPr>
      <w:tblPr/>
      <w:trPr>
        <w:tblHeader/>
      </w:trPr>
      <w:tcPr>
        <w:tcBorders>
          <w:top w:val="single" w:sz="4" w:space="0" w:color="00B4EE" w:themeColor="accent1"/>
          <w:left w:val="nil"/>
          <w:bottom w:val="single" w:sz="4" w:space="0" w:color="00B4EE" w:themeColor="accent1"/>
          <w:right w:val="nil"/>
          <w:insideH w:val="nil"/>
          <w:insideV w:val="single" w:sz="4" w:space="0" w:color="FFFFFF" w:themeColor="background1"/>
          <w:tl2br w:val="nil"/>
          <w:tr2bl w:val="nil"/>
        </w:tcBorders>
        <w:shd w:val="clear" w:color="auto" w:fill="00B4EE" w:themeFill="accent1"/>
        <w:tcMar>
          <w:top w:w="142" w:type="dxa"/>
          <w:left w:w="170" w:type="dxa"/>
          <w:bottom w:w="142" w:type="dxa"/>
          <w:right w:w="85" w:type="dxa"/>
        </w:tcMar>
      </w:tcPr>
    </w:tblStylePr>
    <w:tblStylePr w:type="band2Horz">
      <w:tblPr/>
      <w:tcPr>
        <w:shd w:val="clear" w:color="auto" w:fill="E6E7E8" w:themeFill="text2"/>
      </w:tcPr>
    </w:tblStylePr>
  </w:style>
  <w:style w:type="paragraph" w:styleId="BodyText">
    <w:name w:val="Body Text"/>
    <w:basedOn w:val="Normal"/>
    <w:link w:val="BodyTextChar"/>
    <w:rsid w:val="00D4402F"/>
  </w:style>
  <w:style w:type="character" w:customStyle="1" w:styleId="BodyTextChar">
    <w:name w:val="Body Text Char"/>
    <w:basedOn w:val="DefaultParagraphFont"/>
    <w:link w:val="BodyText"/>
    <w:rsid w:val="00D4402F"/>
  </w:style>
  <w:style w:type="paragraph" w:styleId="ListBullet">
    <w:name w:val="List Bullet"/>
    <w:basedOn w:val="BodyText"/>
    <w:qFormat/>
    <w:rsid w:val="003A4730"/>
    <w:pPr>
      <w:numPr>
        <w:numId w:val="26"/>
      </w:numPr>
      <w:spacing w:before="50" w:after="5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qFormat/>
    <w:rsid w:val="003A4730"/>
    <w:pPr>
      <w:numPr>
        <w:numId w:val="2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table" w:styleId="ColorfulGrid">
    <w:name w:val="Colorful Grid"/>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8F1FF" w:themeFill="accent1" w:themeFillTint="33"/>
    </w:tcPr>
    <w:tblStylePr w:type="firstRow">
      <w:rPr>
        <w:b/>
        <w:bCs/>
      </w:rPr>
      <w:tblPr/>
      <w:tcPr>
        <w:shd w:val="clear" w:color="auto" w:fill="92E4FF" w:themeFill="accent1" w:themeFillTint="66"/>
      </w:tcPr>
    </w:tblStylePr>
    <w:tblStylePr w:type="lastRow">
      <w:rPr>
        <w:b/>
        <w:bCs/>
        <w:color w:val="000000" w:themeColor="text1"/>
      </w:rPr>
      <w:tblPr/>
      <w:tcPr>
        <w:shd w:val="clear" w:color="auto" w:fill="92E4FF" w:themeFill="accent1" w:themeFillTint="66"/>
      </w:tcPr>
    </w:tblStylePr>
    <w:tblStylePr w:type="firstCol">
      <w:rPr>
        <w:color w:val="FFFFFF" w:themeColor="background1"/>
      </w:rPr>
      <w:tblPr/>
      <w:tcPr>
        <w:shd w:val="clear" w:color="auto" w:fill="0086B2" w:themeFill="accent1" w:themeFillShade="BF"/>
      </w:tcPr>
    </w:tblStylePr>
    <w:tblStylePr w:type="lastCol">
      <w:rPr>
        <w:color w:val="FFFFFF" w:themeColor="background1"/>
      </w:rPr>
      <w:tblPr/>
      <w:tcPr>
        <w:shd w:val="clear" w:color="auto" w:fill="0086B2" w:themeFill="accent1" w:themeFillShade="BF"/>
      </w:tc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ColorfulGrid-Accent2">
    <w:name w:val="Colorful Grid Accent 2"/>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2E2FF" w:themeFill="accent2" w:themeFillTint="33"/>
    </w:tcPr>
    <w:tblStylePr w:type="firstRow">
      <w:rPr>
        <w:b/>
        <w:bCs/>
      </w:rPr>
      <w:tblPr/>
      <w:tcPr>
        <w:shd w:val="clear" w:color="auto" w:fill="85C5FF" w:themeFill="accent2" w:themeFillTint="66"/>
      </w:tcPr>
    </w:tblStylePr>
    <w:tblStylePr w:type="lastRow">
      <w:rPr>
        <w:b/>
        <w:bCs/>
        <w:color w:val="000000" w:themeColor="text1"/>
      </w:rPr>
      <w:tblPr/>
      <w:tcPr>
        <w:shd w:val="clear" w:color="auto" w:fill="85C5FF" w:themeFill="accent2" w:themeFillTint="66"/>
      </w:tcPr>
    </w:tblStylePr>
    <w:tblStylePr w:type="firstCol">
      <w:rPr>
        <w:color w:val="FFFFFF" w:themeColor="background1"/>
      </w:rPr>
      <w:tblPr/>
      <w:tcPr>
        <w:shd w:val="clear" w:color="auto" w:fill="005099" w:themeFill="accent2" w:themeFillShade="BF"/>
      </w:tcPr>
    </w:tblStylePr>
    <w:tblStylePr w:type="lastCol">
      <w:rPr>
        <w:color w:val="FFFFFF" w:themeColor="background1"/>
      </w:rPr>
      <w:tblPr/>
      <w:tcPr>
        <w:shd w:val="clear" w:color="auto" w:fill="005099" w:themeFill="accent2" w:themeFillShade="BF"/>
      </w:tc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ColorfulGrid-Accent3">
    <w:name w:val="Colorful Grid Accent 3"/>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E5F5FF" w:themeFill="accent3" w:themeFillTint="33"/>
    </w:tcPr>
    <w:tblStylePr w:type="firstRow">
      <w:rPr>
        <w:b/>
        <w:bCs/>
      </w:rPr>
      <w:tblPr/>
      <w:tcPr>
        <w:shd w:val="clear" w:color="auto" w:fill="CBECFF" w:themeFill="accent3" w:themeFillTint="66"/>
      </w:tcPr>
    </w:tblStylePr>
    <w:tblStylePr w:type="lastRow">
      <w:rPr>
        <w:b/>
        <w:bCs/>
        <w:color w:val="000000" w:themeColor="text1"/>
      </w:rPr>
      <w:tblPr/>
      <w:tcPr>
        <w:shd w:val="clear" w:color="auto" w:fill="CBECFF" w:themeFill="accent3" w:themeFillTint="66"/>
      </w:tcPr>
    </w:tblStylePr>
    <w:tblStylePr w:type="firstCol">
      <w:rPr>
        <w:color w:val="FFFFFF" w:themeColor="background1"/>
      </w:rPr>
      <w:tblPr/>
      <w:tcPr>
        <w:shd w:val="clear" w:color="auto" w:fill="1EB0FF" w:themeFill="accent3" w:themeFillShade="BF"/>
      </w:tcPr>
    </w:tblStylePr>
    <w:tblStylePr w:type="lastCol">
      <w:rPr>
        <w:color w:val="FFFFFF" w:themeColor="background1"/>
      </w:rPr>
      <w:tblPr/>
      <w:tcPr>
        <w:shd w:val="clear" w:color="auto" w:fill="1EB0FF" w:themeFill="accent3" w:themeFillShade="BF"/>
      </w:tc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ColorfulGrid-Accent4">
    <w:name w:val="Colorful Grid Accent 4"/>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7EAFF" w:themeFill="accent4" w:themeFillTint="33"/>
    </w:tcPr>
    <w:tblStylePr w:type="firstRow">
      <w:rPr>
        <w:b/>
        <w:bCs/>
      </w:rPr>
      <w:tblPr/>
      <w:tcPr>
        <w:shd w:val="clear" w:color="auto" w:fill="90D5FF" w:themeFill="accent4" w:themeFillTint="66"/>
      </w:tcPr>
    </w:tblStylePr>
    <w:tblStylePr w:type="lastRow">
      <w:rPr>
        <w:b/>
        <w:bCs/>
        <w:color w:val="000000" w:themeColor="text1"/>
      </w:rPr>
      <w:tblPr/>
      <w:tcPr>
        <w:shd w:val="clear" w:color="auto" w:fill="90D5FF" w:themeFill="accent4" w:themeFillTint="66"/>
      </w:tcPr>
    </w:tblStylePr>
    <w:tblStylePr w:type="firstCol">
      <w:rPr>
        <w:color w:val="FFFFFF" w:themeColor="background1"/>
      </w:rPr>
      <w:tblPr/>
      <w:tcPr>
        <w:shd w:val="clear" w:color="auto" w:fill="006DAF" w:themeFill="accent4" w:themeFillShade="BF"/>
      </w:tcPr>
    </w:tblStylePr>
    <w:tblStylePr w:type="lastCol">
      <w:rPr>
        <w:color w:val="FFFFFF" w:themeColor="background1"/>
      </w:rPr>
      <w:tblPr/>
      <w:tcPr>
        <w:shd w:val="clear" w:color="auto" w:fill="006DAF" w:themeFill="accent4" w:themeFillShade="BF"/>
      </w:tc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ColorfulGrid-Accent5">
    <w:name w:val="Colorful Grid Accent 5"/>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5D5F6" w:themeFill="accent5" w:themeFillTint="33"/>
    </w:tcPr>
    <w:tblStylePr w:type="firstRow">
      <w:rPr>
        <w:b/>
        <w:bCs/>
      </w:rPr>
      <w:tblPr/>
      <w:tcPr>
        <w:shd w:val="clear" w:color="auto" w:fill="8BABEC" w:themeFill="accent5" w:themeFillTint="66"/>
      </w:tcPr>
    </w:tblStylePr>
    <w:tblStylePr w:type="lastRow">
      <w:rPr>
        <w:b/>
        <w:bCs/>
        <w:color w:val="000000" w:themeColor="text1"/>
      </w:rPr>
      <w:tblPr/>
      <w:tcPr>
        <w:shd w:val="clear" w:color="auto" w:fill="8BABEC" w:themeFill="accent5" w:themeFillTint="66"/>
      </w:tcPr>
    </w:tblStylePr>
    <w:tblStylePr w:type="firstCol">
      <w:rPr>
        <w:color w:val="FFFFFF" w:themeColor="background1"/>
      </w:rPr>
      <w:tblPr/>
      <w:tcPr>
        <w:shd w:val="clear" w:color="auto" w:fill="123171" w:themeFill="accent5" w:themeFillShade="BF"/>
      </w:tcPr>
    </w:tblStylePr>
    <w:tblStylePr w:type="lastCol">
      <w:rPr>
        <w:color w:val="FFFFFF" w:themeColor="background1"/>
      </w:rPr>
      <w:tblPr/>
      <w:tcPr>
        <w:shd w:val="clear" w:color="auto" w:fill="123171" w:themeFill="accent5" w:themeFillShade="BF"/>
      </w:tc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ColorfulGrid-Accent6">
    <w:name w:val="Colorful Grid Accent 6"/>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BCFFFE" w:themeFill="accent6" w:themeFillTint="33"/>
    </w:tcPr>
    <w:tblStylePr w:type="firstRow">
      <w:rPr>
        <w:b/>
        <w:bCs/>
      </w:rPr>
      <w:tblPr/>
      <w:tcPr>
        <w:shd w:val="clear" w:color="auto" w:fill="79FFFD" w:themeFill="accent6" w:themeFillTint="66"/>
      </w:tcPr>
    </w:tblStylePr>
    <w:tblStylePr w:type="lastRow">
      <w:rPr>
        <w:b/>
        <w:bCs/>
        <w:color w:val="000000" w:themeColor="text1"/>
      </w:rPr>
      <w:tblPr/>
      <w:tcPr>
        <w:shd w:val="clear" w:color="auto" w:fill="79FFFD" w:themeFill="accent6" w:themeFillTint="66"/>
      </w:tcPr>
    </w:tblStylePr>
    <w:tblStylePr w:type="firstCol">
      <w:rPr>
        <w:color w:val="FFFFFF" w:themeColor="background1"/>
      </w:rPr>
      <w:tblPr/>
      <w:tcPr>
        <w:shd w:val="clear" w:color="auto" w:fill="008381" w:themeFill="accent6" w:themeFillShade="BF"/>
      </w:tcPr>
    </w:tblStylePr>
    <w:tblStylePr w:type="lastCol">
      <w:rPr>
        <w:color w:val="FFFFFF" w:themeColor="background1"/>
      </w:rPr>
      <w:tblPr/>
      <w:tcPr>
        <w:shd w:val="clear" w:color="auto" w:fill="008381" w:themeFill="accent6" w:themeFillShade="BF"/>
      </w:tc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ColorfulList">
    <w:name w:val="Colorful List"/>
    <w:basedOn w:val="TableNormal"/>
    <w:uiPriority w:val="72"/>
    <w:semiHidden/>
    <w:rsid w:val="007755B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755BA"/>
    <w:pPr>
      <w:spacing w:line="240" w:lineRule="auto"/>
    </w:pPr>
    <w:tblPr>
      <w:tblStyleRowBandSize w:val="1"/>
      <w:tblStyleColBandSize w:val="1"/>
    </w:tblPr>
    <w:tcPr>
      <w:shd w:val="clear" w:color="auto" w:fill="E4F8FF" w:themeFill="accen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EFF" w:themeFill="accent1" w:themeFillTint="3F"/>
      </w:tcPr>
    </w:tblStylePr>
    <w:tblStylePr w:type="band1Horz">
      <w:tblPr/>
      <w:tcPr>
        <w:shd w:val="clear" w:color="auto" w:fill="C8F1FF" w:themeFill="accent1" w:themeFillTint="33"/>
      </w:tcPr>
    </w:tblStylePr>
  </w:style>
  <w:style w:type="table" w:styleId="ColorfulList-Accent2">
    <w:name w:val="Colorful List Accent 2"/>
    <w:basedOn w:val="TableNormal"/>
    <w:uiPriority w:val="72"/>
    <w:semiHidden/>
    <w:rsid w:val="007755BA"/>
    <w:pPr>
      <w:spacing w:line="240" w:lineRule="auto"/>
    </w:pPr>
    <w:tblPr>
      <w:tblStyleRowBandSize w:val="1"/>
      <w:tblStyleColBandSize w:val="1"/>
    </w:tblPr>
    <w:tcPr>
      <w:shd w:val="clear" w:color="auto" w:fill="E1F0FF" w:themeFill="accent2"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BFF" w:themeFill="accent2" w:themeFillTint="3F"/>
      </w:tcPr>
    </w:tblStylePr>
    <w:tblStylePr w:type="band1Horz">
      <w:tblPr/>
      <w:tcPr>
        <w:shd w:val="clear" w:color="auto" w:fill="C2E2FF" w:themeFill="accent2" w:themeFillTint="33"/>
      </w:tcPr>
    </w:tblStylePr>
  </w:style>
  <w:style w:type="table" w:styleId="ColorfulList-Accent3">
    <w:name w:val="Colorful List Accent 3"/>
    <w:basedOn w:val="TableNormal"/>
    <w:uiPriority w:val="72"/>
    <w:semiHidden/>
    <w:rsid w:val="007755BA"/>
    <w:pPr>
      <w:spacing w:line="240" w:lineRule="auto"/>
    </w:pPr>
    <w:tblPr>
      <w:tblStyleRowBandSize w:val="1"/>
      <w:tblStyleColBandSize w:val="1"/>
    </w:tblPr>
    <w:tcPr>
      <w:shd w:val="clear" w:color="auto" w:fill="F2FAFF" w:themeFill="accent3" w:themeFillTint="19"/>
    </w:tcPr>
    <w:tblStylePr w:type="firstRow">
      <w:rPr>
        <w:b/>
        <w:bCs/>
        <w:color w:val="FFFFFF" w:themeColor="background1"/>
      </w:rPr>
      <w:tblPr/>
      <w:tcPr>
        <w:tcBorders>
          <w:bottom w:val="single" w:sz="12" w:space="0" w:color="FFFFFF" w:themeColor="background1"/>
        </w:tcBorders>
        <w:shd w:val="clear" w:color="auto" w:fill="0075BB" w:themeFill="accent4" w:themeFillShade="CC"/>
      </w:tcPr>
    </w:tblStylePr>
    <w:tblStylePr w:type="lastRow">
      <w:rPr>
        <w:b/>
        <w:bCs/>
        <w:color w:val="0075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F" w:themeFill="accent3" w:themeFillTint="3F"/>
      </w:tcPr>
    </w:tblStylePr>
    <w:tblStylePr w:type="band1Horz">
      <w:tblPr/>
      <w:tcPr>
        <w:shd w:val="clear" w:color="auto" w:fill="E5F5FF" w:themeFill="accent3" w:themeFillTint="33"/>
      </w:tcPr>
    </w:tblStylePr>
  </w:style>
  <w:style w:type="table" w:styleId="ColorfulList-Accent4">
    <w:name w:val="Colorful List Accent 4"/>
    <w:basedOn w:val="TableNormal"/>
    <w:uiPriority w:val="72"/>
    <w:semiHidden/>
    <w:rsid w:val="007755BA"/>
    <w:pPr>
      <w:spacing w:line="240" w:lineRule="auto"/>
    </w:pPr>
    <w:tblPr>
      <w:tblStyleRowBandSize w:val="1"/>
      <w:tblStyleColBandSize w:val="1"/>
    </w:tblPr>
    <w:tcPr>
      <w:shd w:val="clear" w:color="auto" w:fill="E3F4FF" w:themeFill="accent4" w:themeFillTint="19"/>
    </w:tcPr>
    <w:tblStylePr w:type="firstRow">
      <w:rPr>
        <w:b/>
        <w:bCs/>
        <w:color w:val="FFFFFF" w:themeColor="background1"/>
      </w:rPr>
      <w:tblPr/>
      <w:tcPr>
        <w:tcBorders>
          <w:bottom w:val="single" w:sz="12" w:space="0" w:color="FFFFFF" w:themeColor="background1"/>
        </w:tcBorders>
        <w:shd w:val="clear" w:color="auto" w:fill="31B7FF" w:themeFill="accent3" w:themeFillShade="CC"/>
      </w:tcPr>
    </w:tblStylePr>
    <w:tblStylePr w:type="lastRow">
      <w:rPr>
        <w:b/>
        <w:bCs/>
        <w:color w:val="31B7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5FF" w:themeFill="accent4" w:themeFillTint="3F"/>
      </w:tcPr>
    </w:tblStylePr>
    <w:tblStylePr w:type="band1Horz">
      <w:tblPr/>
      <w:tcPr>
        <w:shd w:val="clear" w:color="auto" w:fill="C7EAFF" w:themeFill="accent4" w:themeFillTint="33"/>
      </w:tcPr>
    </w:tblStylePr>
  </w:style>
  <w:style w:type="table" w:styleId="ColorfulList-Accent5">
    <w:name w:val="Colorful List Accent 5"/>
    <w:basedOn w:val="TableNormal"/>
    <w:uiPriority w:val="72"/>
    <w:semiHidden/>
    <w:rsid w:val="007755BA"/>
    <w:pPr>
      <w:spacing w:line="240" w:lineRule="auto"/>
    </w:pPr>
    <w:tblPr>
      <w:tblStyleRowBandSize w:val="1"/>
      <w:tblStyleColBandSize w:val="1"/>
    </w:tblPr>
    <w:tcPr>
      <w:shd w:val="clear" w:color="auto" w:fill="E2EAFA" w:themeFill="accent5" w:themeFillTint="19"/>
    </w:tcPr>
    <w:tblStylePr w:type="firstRow">
      <w:rPr>
        <w:b/>
        <w:bCs/>
        <w:color w:val="FFFFFF" w:themeColor="background1"/>
      </w:rPr>
      <w:tblPr/>
      <w:tcPr>
        <w:tcBorders>
          <w:bottom w:val="single" w:sz="12" w:space="0" w:color="FFFFFF" w:themeColor="background1"/>
        </w:tcBorders>
        <w:shd w:val="clear" w:color="auto" w:fill="008C8A" w:themeFill="accent6" w:themeFillShade="CC"/>
      </w:tcPr>
    </w:tblStylePr>
    <w:tblStylePr w:type="lastRow">
      <w:rPr>
        <w:b/>
        <w:bCs/>
        <w:color w:val="008C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BF3" w:themeFill="accent5" w:themeFillTint="3F"/>
      </w:tcPr>
    </w:tblStylePr>
    <w:tblStylePr w:type="band1Horz">
      <w:tblPr/>
      <w:tcPr>
        <w:shd w:val="clear" w:color="auto" w:fill="C5D5F6" w:themeFill="accent5" w:themeFillTint="33"/>
      </w:tcPr>
    </w:tblStylePr>
  </w:style>
  <w:style w:type="table" w:styleId="ColorfulList-Accent6">
    <w:name w:val="Colorful List Accent 6"/>
    <w:basedOn w:val="TableNormal"/>
    <w:uiPriority w:val="72"/>
    <w:semiHidden/>
    <w:rsid w:val="007755BA"/>
    <w:pPr>
      <w:spacing w:line="240" w:lineRule="auto"/>
    </w:pPr>
    <w:tblPr>
      <w:tblStyleRowBandSize w:val="1"/>
      <w:tblStyleColBandSize w:val="1"/>
    </w:tblPr>
    <w:tcPr>
      <w:shd w:val="clear" w:color="auto" w:fill="DEFFFE" w:themeFill="accent6" w:themeFillTint="19"/>
    </w:tcPr>
    <w:tblStylePr w:type="firstRow">
      <w:rPr>
        <w:b/>
        <w:bCs/>
        <w:color w:val="FFFFFF" w:themeColor="background1"/>
      </w:rPr>
      <w:tblPr/>
      <w:tcPr>
        <w:tcBorders>
          <w:bottom w:val="single" w:sz="12" w:space="0" w:color="FFFFFF" w:themeColor="background1"/>
        </w:tcBorders>
        <w:shd w:val="clear" w:color="auto" w:fill="133579" w:themeFill="accent5" w:themeFillShade="CC"/>
      </w:tcPr>
    </w:tblStylePr>
    <w:tblStylePr w:type="lastRow">
      <w:rPr>
        <w:b/>
        <w:bCs/>
        <w:color w:val="1335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E" w:themeFill="accent6" w:themeFillTint="3F"/>
      </w:tcPr>
    </w:tblStylePr>
    <w:tblStylePr w:type="band1Horz">
      <w:tblPr/>
      <w:tcPr>
        <w:shd w:val="clear" w:color="auto" w:fill="BCFFFE" w:themeFill="accent6" w:themeFillTint="33"/>
      </w:tcPr>
    </w:tblStylePr>
  </w:style>
  <w:style w:type="table" w:styleId="ColorfulShading">
    <w:name w:val="Colorful Shading"/>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B4EE" w:themeColor="accent1"/>
        <w:bottom w:val="single" w:sz="4" w:space="0" w:color="00B4EE" w:themeColor="accent1"/>
        <w:right w:val="single" w:sz="4" w:space="0" w:color="00B4EE" w:themeColor="accent1"/>
        <w:insideH w:val="single" w:sz="4" w:space="0" w:color="FFFFFF" w:themeColor="background1"/>
        <w:insideV w:val="single" w:sz="4" w:space="0" w:color="FFFFFF" w:themeColor="background1"/>
      </w:tblBorders>
    </w:tblPr>
    <w:tcPr>
      <w:shd w:val="clear" w:color="auto" w:fill="E4F8FF" w:themeFill="accen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E" w:themeFill="accent1" w:themeFillShade="99"/>
      </w:tcPr>
    </w:tblStylePr>
    <w:tblStylePr w:type="firstCol">
      <w:rPr>
        <w:color w:val="FFFFFF" w:themeColor="background1"/>
      </w:rPr>
      <w:tblPr/>
      <w:tcPr>
        <w:tcBorders>
          <w:top w:val="nil"/>
          <w:left w:val="nil"/>
          <w:bottom w:val="nil"/>
          <w:right w:val="nil"/>
          <w:insideH w:val="single" w:sz="4" w:space="0" w:color="006B8E" w:themeColor="accent1" w:themeShade="99"/>
          <w:insideV w:val="nil"/>
        </w:tcBorders>
        <w:shd w:val="clear" w:color="auto" w:fill="006B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B8E" w:themeFill="accent1" w:themeFillShade="99"/>
      </w:tcPr>
    </w:tblStylePr>
    <w:tblStylePr w:type="band1Vert">
      <w:tblPr/>
      <w:tcPr>
        <w:shd w:val="clear" w:color="auto" w:fill="92E4FF" w:themeFill="accent1" w:themeFillTint="66"/>
      </w:tcPr>
    </w:tblStylePr>
    <w:tblStylePr w:type="band1Horz">
      <w:tblPr/>
      <w:tcPr>
        <w:shd w:val="clear" w:color="auto" w:fill="77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6CCD" w:themeColor="accent2"/>
        <w:bottom w:val="single" w:sz="4" w:space="0" w:color="006CCD" w:themeColor="accent2"/>
        <w:right w:val="single" w:sz="4" w:space="0" w:color="006CCD" w:themeColor="accent2"/>
        <w:insideH w:val="single" w:sz="4" w:space="0" w:color="FFFFFF" w:themeColor="background1"/>
        <w:insideV w:val="single" w:sz="4" w:space="0" w:color="FFFFFF" w:themeColor="background1"/>
      </w:tblBorders>
    </w:tblPr>
    <w:tcPr>
      <w:shd w:val="clear" w:color="auto" w:fill="E1F0FF" w:themeFill="accent2"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7B" w:themeFill="accent2" w:themeFillShade="99"/>
      </w:tcPr>
    </w:tblStylePr>
    <w:tblStylePr w:type="firstCol">
      <w:rPr>
        <w:color w:val="FFFFFF" w:themeColor="background1"/>
      </w:rPr>
      <w:tblPr/>
      <w:tcPr>
        <w:tcBorders>
          <w:top w:val="nil"/>
          <w:left w:val="nil"/>
          <w:bottom w:val="nil"/>
          <w:right w:val="nil"/>
          <w:insideH w:val="single" w:sz="4" w:space="0" w:color="00407B" w:themeColor="accent2" w:themeShade="99"/>
          <w:insideV w:val="nil"/>
        </w:tcBorders>
        <w:shd w:val="clear" w:color="auto" w:fill="0040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07B" w:themeFill="accent2" w:themeFillShade="99"/>
      </w:tcPr>
    </w:tblStylePr>
    <w:tblStylePr w:type="band1Vert">
      <w:tblPr/>
      <w:tcPr>
        <w:shd w:val="clear" w:color="auto" w:fill="85C5FF" w:themeFill="accent2" w:themeFillTint="66"/>
      </w:tcPr>
    </w:tblStylePr>
    <w:tblStylePr w:type="band1Horz">
      <w:tblPr/>
      <w:tcPr>
        <w:shd w:val="clear" w:color="auto" w:fill="67B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755BA"/>
    <w:pPr>
      <w:spacing w:line="240" w:lineRule="auto"/>
    </w:pPr>
    <w:tblPr>
      <w:tblStyleRowBandSize w:val="1"/>
      <w:tblStyleColBandSize w:val="1"/>
      <w:tblBorders>
        <w:top w:val="single" w:sz="24" w:space="0" w:color="0093EA" w:themeColor="accent4"/>
        <w:left w:val="single" w:sz="4" w:space="0" w:color="7ED2FF" w:themeColor="accent3"/>
        <w:bottom w:val="single" w:sz="4" w:space="0" w:color="7ED2FF" w:themeColor="accent3"/>
        <w:right w:val="single" w:sz="4" w:space="0" w:color="7ED2FF" w:themeColor="accent3"/>
        <w:insideH w:val="single" w:sz="4" w:space="0" w:color="FFFFFF" w:themeColor="background1"/>
        <w:insideV w:val="single" w:sz="4" w:space="0" w:color="FFFFFF" w:themeColor="background1"/>
      </w:tblBorders>
    </w:tblPr>
    <w:tcPr>
      <w:shd w:val="clear" w:color="auto" w:fill="F2FAFF" w:themeFill="accent3" w:themeFillTint="19"/>
    </w:tcPr>
    <w:tblStylePr w:type="firstRow">
      <w:rPr>
        <w:b/>
        <w:bCs/>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4E4" w:themeFill="accent3" w:themeFillShade="99"/>
      </w:tcPr>
    </w:tblStylePr>
    <w:tblStylePr w:type="firstCol">
      <w:rPr>
        <w:color w:val="FFFFFF" w:themeColor="background1"/>
      </w:rPr>
      <w:tblPr/>
      <w:tcPr>
        <w:tcBorders>
          <w:top w:val="nil"/>
          <w:left w:val="nil"/>
          <w:bottom w:val="nil"/>
          <w:right w:val="nil"/>
          <w:insideH w:val="single" w:sz="4" w:space="0" w:color="0094E4" w:themeColor="accent3" w:themeShade="99"/>
          <w:insideV w:val="nil"/>
        </w:tcBorders>
        <w:shd w:val="clear" w:color="auto" w:fill="0094E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4E4" w:themeFill="accent3" w:themeFillShade="99"/>
      </w:tcPr>
    </w:tblStylePr>
    <w:tblStylePr w:type="band1Vert">
      <w:tblPr/>
      <w:tcPr>
        <w:shd w:val="clear" w:color="auto" w:fill="CBECFF" w:themeFill="accent3" w:themeFillTint="66"/>
      </w:tcPr>
    </w:tblStylePr>
    <w:tblStylePr w:type="band1Horz">
      <w:tblPr/>
      <w:tcPr>
        <w:shd w:val="clear" w:color="auto" w:fill="BEE8FF" w:themeFill="accent3" w:themeFillTint="7F"/>
      </w:tcPr>
    </w:tblStylePr>
  </w:style>
  <w:style w:type="table" w:styleId="ColorfulShading-Accent4">
    <w:name w:val="Colorful Shading Accent 4"/>
    <w:basedOn w:val="TableNormal"/>
    <w:uiPriority w:val="71"/>
    <w:semiHidden/>
    <w:rsid w:val="007755BA"/>
    <w:pPr>
      <w:spacing w:line="240" w:lineRule="auto"/>
    </w:pPr>
    <w:tblPr>
      <w:tblStyleRowBandSize w:val="1"/>
      <w:tblStyleColBandSize w:val="1"/>
      <w:tblBorders>
        <w:top w:val="single" w:sz="24" w:space="0" w:color="7ED2FF" w:themeColor="accent3"/>
        <w:left w:val="single" w:sz="4" w:space="0" w:color="0093EA" w:themeColor="accent4"/>
        <w:bottom w:val="single" w:sz="4" w:space="0" w:color="0093EA" w:themeColor="accent4"/>
        <w:right w:val="single" w:sz="4" w:space="0" w:color="0093EA" w:themeColor="accent4"/>
        <w:insideH w:val="single" w:sz="4" w:space="0" w:color="FFFFFF" w:themeColor="background1"/>
        <w:insideV w:val="single" w:sz="4" w:space="0" w:color="FFFFFF" w:themeColor="background1"/>
      </w:tblBorders>
    </w:tblPr>
    <w:tcPr>
      <w:shd w:val="clear" w:color="auto" w:fill="E3F4FF" w:themeFill="accent4" w:themeFillTint="19"/>
    </w:tcPr>
    <w:tblStylePr w:type="firstRow">
      <w:rPr>
        <w:b/>
        <w:bCs/>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8C" w:themeFill="accent4" w:themeFillShade="99"/>
      </w:tcPr>
    </w:tblStylePr>
    <w:tblStylePr w:type="firstCol">
      <w:rPr>
        <w:color w:val="FFFFFF" w:themeColor="background1"/>
      </w:rPr>
      <w:tblPr/>
      <w:tcPr>
        <w:tcBorders>
          <w:top w:val="nil"/>
          <w:left w:val="nil"/>
          <w:bottom w:val="nil"/>
          <w:right w:val="nil"/>
          <w:insideH w:val="single" w:sz="4" w:space="0" w:color="00588C" w:themeColor="accent4" w:themeShade="99"/>
          <w:insideV w:val="nil"/>
        </w:tcBorders>
        <w:shd w:val="clear" w:color="auto" w:fill="005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88C" w:themeFill="accent4" w:themeFillShade="99"/>
      </w:tcPr>
    </w:tblStylePr>
    <w:tblStylePr w:type="band1Vert">
      <w:tblPr/>
      <w:tcPr>
        <w:shd w:val="clear" w:color="auto" w:fill="90D5FF" w:themeFill="accent4" w:themeFillTint="66"/>
      </w:tcPr>
    </w:tblStylePr>
    <w:tblStylePr w:type="band1Horz">
      <w:tblPr/>
      <w:tcPr>
        <w:shd w:val="clear" w:color="auto" w:fill="75C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755BA"/>
    <w:pPr>
      <w:spacing w:line="240" w:lineRule="auto"/>
    </w:pPr>
    <w:tblPr>
      <w:tblStyleRowBandSize w:val="1"/>
      <w:tblStyleColBandSize w:val="1"/>
      <w:tblBorders>
        <w:top w:val="single" w:sz="24" w:space="0" w:color="00AFAE" w:themeColor="accent6"/>
        <w:left w:val="single" w:sz="4" w:space="0" w:color="184398" w:themeColor="accent5"/>
        <w:bottom w:val="single" w:sz="4" w:space="0" w:color="184398" w:themeColor="accent5"/>
        <w:right w:val="single" w:sz="4" w:space="0" w:color="184398" w:themeColor="accent5"/>
        <w:insideH w:val="single" w:sz="4" w:space="0" w:color="FFFFFF" w:themeColor="background1"/>
        <w:insideV w:val="single" w:sz="4" w:space="0" w:color="FFFFFF" w:themeColor="background1"/>
      </w:tblBorders>
    </w:tblPr>
    <w:tcPr>
      <w:shd w:val="clear" w:color="auto" w:fill="E2EAFA" w:themeFill="accent5" w:themeFillTint="19"/>
    </w:tcPr>
    <w:tblStylePr w:type="firstRow">
      <w:rPr>
        <w:b/>
        <w:bCs/>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75A" w:themeFill="accent5" w:themeFillShade="99"/>
      </w:tcPr>
    </w:tblStylePr>
    <w:tblStylePr w:type="firstCol">
      <w:rPr>
        <w:color w:val="FFFFFF" w:themeColor="background1"/>
      </w:rPr>
      <w:tblPr/>
      <w:tcPr>
        <w:tcBorders>
          <w:top w:val="nil"/>
          <w:left w:val="nil"/>
          <w:bottom w:val="nil"/>
          <w:right w:val="nil"/>
          <w:insideH w:val="single" w:sz="4" w:space="0" w:color="0E275A" w:themeColor="accent5" w:themeShade="99"/>
          <w:insideV w:val="nil"/>
        </w:tcBorders>
        <w:shd w:val="clear" w:color="auto" w:fill="0E27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75A" w:themeFill="accent5" w:themeFillShade="99"/>
      </w:tcPr>
    </w:tblStylePr>
    <w:tblStylePr w:type="band1Vert">
      <w:tblPr/>
      <w:tcPr>
        <w:shd w:val="clear" w:color="auto" w:fill="8BABEC" w:themeFill="accent5" w:themeFillTint="66"/>
      </w:tcPr>
    </w:tblStylePr>
    <w:tblStylePr w:type="band1Horz">
      <w:tblPr/>
      <w:tcPr>
        <w:shd w:val="clear" w:color="auto" w:fill="6F9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755BA"/>
    <w:pPr>
      <w:spacing w:line="240" w:lineRule="auto"/>
    </w:pPr>
    <w:tblPr>
      <w:tblStyleRowBandSize w:val="1"/>
      <w:tblStyleColBandSize w:val="1"/>
      <w:tblBorders>
        <w:top w:val="single" w:sz="24" w:space="0" w:color="184398" w:themeColor="accent5"/>
        <w:left w:val="single" w:sz="4" w:space="0" w:color="00AFAE" w:themeColor="accent6"/>
        <w:bottom w:val="single" w:sz="4" w:space="0" w:color="00AFAE" w:themeColor="accent6"/>
        <w:right w:val="single" w:sz="4" w:space="0" w:color="00AFAE" w:themeColor="accent6"/>
        <w:insideH w:val="single" w:sz="4" w:space="0" w:color="FFFFFF" w:themeColor="background1"/>
        <w:insideV w:val="single" w:sz="4" w:space="0" w:color="FFFFFF" w:themeColor="background1"/>
      </w:tblBorders>
    </w:tblPr>
    <w:tcPr>
      <w:shd w:val="clear" w:color="auto" w:fill="DEFFFE" w:themeFill="accent6" w:themeFillTint="19"/>
    </w:tcPr>
    <w:tblStylePr w:type="firstRow">
      <w:rPr>
        <w:b/>
        <w:bCs/>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68" w:themeFill="accent6" w:themeFillShade="99"/>
      </w:tcPr>
    </w:tblStylePr>
    <w:tblStylePr w:type="firstCol">
      <w:rPr>
        <w:color w:val="FFFFFF" w:themeColor="background1"/>
      </w:rPr>
      <w:tblPr/>
      <w:tcPr>
        <w:tcBorders>
          <w:top w:val="nil"/>
          <w:left w:val="nil"/>
          <w:bottom w:val="nil"/>
          <w:right w:val="nil"/>
          <w:insideH w:val="single" w:sz="4" w:space="0" w:color="006968" w:themeColor="accent6" w:themeShade="99"/>
          <w:insideV w:val="nil"/>
        </w:tcBorders>
        <w:shd w:val="clear" w:color="auto" w:fill="00696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968" w:themeFill="accent6" w:themeFillShade="99"/>
      </w:tcPr>
    </w:tblStylePr>
    <w:tblStylePr w:type="band1Vert">
      <w:tblPr/>
      <w:tcPr>
        <w:shd w:val="clear" w:color="auto" w:fill="79FFFD" w:themeFill="accent6" w:themeFillTint="66"/>
      </w:tcPr>
    </w:tblStylePr>
    <w:tblStylePr w:type="band1Horz">
      <w:tblPr/>
      <w:tcPr>
        <w:shd w:val="clear" w:color="auto" w:fill="58FF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755B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755BA"/>
    <w:pPr>
      <w:spacing w:line="240" w:lineRule="auto"/>
    </w:pPr>
    <w:rPr>
      <w:color w:val="FFFFFF" w:themeColor="background1"/>
    </w:rPr>
    <w:tblPr>
      <w:tblStyleRowBandSize w:val="1"/>
      <w:tblStyleColBandSize w:val="1"/>
    </w:tblPr>
    <w:tcPr>
      <w:shd w:val="clear" w:color="auto" w:fill="00B4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6B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6B2" w:themeFill="accent1" w:themeFillShade="BF"/>
      </w:tcPr>
    </w:tblStylePr>
    <w:tblStylePr w:type="band1Vert">
      <w:tblPr/>
      <w:tcPr>
        <w:tcBorders>
          <w:top w:val="nil"/>
          <w:left w:val="nil"/>
          <w:bottom w:val="nil"/>
          <w:right w:val="nil"/>
          <w:insideH w:val="nil"/>
          <w:insideV w:val="nil"/>
        </w:tcBorders>
        <w:shd w:val="clear" w:color="auto" w:fill="0086B2" w:themeFill="accent1" w:themeFillShade="BF"/>
      </w:tcPr>
    </w:tblStylePr>
    <w:tblStylePr w:type="band1Horz">
      <w:tblPr/>
      <w:tcPr>
        <w:tcBorders>
          <w:top w:val="nil"/>
          <w:left w:val="nil"/>
          <w:bottom w:val="nil"/>
          <w:right w:val="nil"/>
          <w:insideH w:val="nil"/>
          <w:insideV w:val="nil"/>
        </w:tcBorders>
        <w:shd w:val="clear" w:color="auto" w:fill="0086B2" w:themeFill="accent1" w:themeFillShade="BF"/>
      </w:tcPr>
    </w:tblStylePr>
  </w:style>
  <w:style w:type="table" w:styleId="DarkList-Accent2">
    <w:name w:val="Dark List Accent 2"/>
    <w:basedOn w:val="TableNormal"/>
    <w:uiPriority w:val="70"/>
    <w:semiHidden/>
    <w:rsid w:val="007755BA"/>
    <w:pPr>
      <w:spacing w:line="240" w:lineRule="auto"/>
    </w:pPr>
    <w:rPr>
      <w:color w:val="FFFFFF" w:themeColor="background1"/>
    </w:rPr>
    <w:tblPr>
      <w:tblStyleRowBandSize w:val="1"/>
      <w:tblStyleColBandSize w:val="1"/>
    </w:tblPr>
    <w:tcPr>
      <w:shd w:val="clear" w:color="auto" w:fill="006C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0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099" w:themeFill="accent2" w:themeFillShade="BF"/>
      </w:tcPr>
    </w:tblStylePr>
    <w:tblStylePr w:type="band1Vert">
      <w:tblPr/>
      <w:tcPr>
        <w:tcBorders>
          <w:top w:val="nil"/>
          <w:left w:val="nil"/>
          <w:bottom w:val="nil"/>
          <w:right w:val="nil"/>
          <w:insideH w:val="nil"/>
          <w:insideV w:val="nil"/>
        </w:tcBorders>
        <w:shd w:val="clear" w:color="auto" w:fill="005099" w:themeFill="accent2" w:themeFillShade="BF"/>
      </w:tcPr>
    </w:tblStylePr>
    <w:tblStylePr w:type="band1Horz">
      <w:tblPr/>
      <w:tcPr>
        <w:tcBorders>
          <w:top w:val="nil"/>
          <w:left w:val="nil"/>
          <w:bottom w:val="nil"/>
          <w:right w:val="nil"/>
          <w:insideH w:val="nil"/>
          <w:insideV w:val="nil"/>
        </w:tcBorders>
        <w:shd w:val="clear" w:color="auto" w:fill="005099" w:themeFill="accent2" w:themeFillShade="BF"/>
      </w:tcPr>
    </w:tblStylePr>
  </w:style>
  <w:style w:type="table" w:styleId="DarkList-Accent3">
    <w:name w:val="Dark List Accent 3"/>
    <w:basedOn w:val="TableNormal"/>
    <w:uiPriority w:val="70"/>
    <w:semiHidden/>
    <w:rsid w:val="007755BA"/>
    <w:pPr>
      <w:spacing w:line="240" w:lineRule="auto"/>
    </w:pPr>
    <w:rPr>
      <w:color w:val="FFFFFF" w:themeColor="background1"/>
    </w:rPr>
    <w:tblPr>
      <w:tblStyleRowBandSize w:val="1"/>
      <w:tblStyleColBandSize w:val="1"/>
    </w:tblPr>
    <w:tcPr>
      <w:shd w:val="clear" w:color="auto" w:fill="7ED2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BB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B0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B0FF" w:themeFill="accent3" w:themeFillShade="BF"/>
      </w:tcPr>
    </w:tblStylePr>
    <w:tblStylePr w:type="band1Vert">
      <w:tblPr/>
      <w:tcPr>
        <w:tcBorders>
          <w:top w:val="nil"/>
          <w:left w:val="nil"/>
          <w:bottom w:val="nil"/>
          <w:right w:val="nil"/>
          <w:insideH w:val="nil"/>
          <w:insideV w:val="nil"/>
        </w:tcBorders>
        <w:shd w:val="clear" w:color="auto" w:fill="1EB0FF" w:themeFill="accent3" w:themeFillShade="BF"/>
      </w:tcPr>
    </w:tblStylePr>
    <w:tblStylePr w:type="band1Horz">
      <w:tblPr/>
      <w:tcPr>
        <w:tcBorders>
          <w:top w:val="nil"/>
          <w:left w:val="nil"/>
          <w:bottom w:val="nil"/>
          <w:right w:val="nil"/>
          <w:insideH w:val="nil"/>
          <w:insideV w:val="nil"/>
        </w:tcBorders>
        <w:shd w:val="clear" w:color="auto" w:fill="1EB0FF" w:themeFill="accent3" w:themeFillShade="BF"/>
      </w:tcPr>
    </w:tblStylePr>
  </w:style>
  <w:style w:type="table" w:styleId="DarkList-Accent4">
    <w:name w:val="Dark List Accent 4"/>
    <w:basedOn w:val="TableNormal"/>
    <w:uiPriority w:val="70"/>
    <w:semiHidden/>
    <w:rsid w:val="007755BA"/>
    <w:pPr>
      <w:spacing w:line="240" w:lineRule="auto"/>
    </w:pPr>
    <w:rPr>
      <w:color w:val="FFFFFF" w:themeColor="background1"/>
    </w:rPr>
    <w:tblPr>
      <w:tblStyleRowBandSize w:val="1"/>
      <w:tblStyleColBandSize w:val="1"/>
    </w:tblPr>
    <w:tcPr>
      <w:shd w:val="clear" w:color="auto" w:fill="0093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D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DAF" w:themeFill="accent4" w:themeFillShade="BF"/>
      </w:tcPr>
    </w:tblStylePr>
    <w:tblStylePr w:type="band1Vert">
      <w:tblPr/>
      <w:tcPr>
        <w:tcBorders>
          <w:top w:val="nil"/>
          <w:left w:val="nil"/>
          <w:bottom w:val="nil"/>
          <w:right w:val="nil"/>
          <w:insideH w:val="nil"/>
          <w:insideV w:val="nil"/>
        </w:tcBorders>
        <w:shd w:val="clear" w:color="auto" w:fill="006DAF" w:themeFill="accent4" w:themeFillShade="BF"/>
      </w:tcPr>
    </w:tblStylePr>
    <w:tblStylePr w:type="band1Horz">
      <w:tblPr/>
      <w:tcPr>
        <w:tcBorders>
          <w:top w:val="nil"/>
          <w:left w:val="nil"/>
          <w:bottom w:val="nil"/>
          <w:right w:val="nil"/>
          <w:insideH w:val="nil"/>
          <w:insideV w:val="nil"/>
        </w:tcBorders>
        <w:shd w:val="clear" w:color="auto" w:fill="006DAF" w:themeFill="accent4" w:themeFillShade="BF"/>
      </w:tcPr>
    </w:tblStylePr>
  </w:style>
  <w:style w:type="table" w:styleId="DarkList-Accent5">
    <w:name w:val="Dark List Accent 5"/>
    <w:basedOn w:val="TableNormal"/>
    <w:uiPriority w:val="70"/>
    <w:semiHidden/>
    <w:rsid w:val="007755BA"/>
    <w:pPr>
      <w:spacing w:line="240" w:lineRule="auto"/>
    </w:pPr>
    <w:rPr>
      <w:color w:val="FFFFFF" w:themeColor="background1"/>
    </w:rPr>
    <w:tblPr>
      <w:tblStyleRowBandSize w:val="1"/>
      <w:tblStyleColBandSize w:val="1"/>
    </w:tblPr>
    <w:tcPr>
      <w:shd w:val="clear" w:color="auto" w:fill="1843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1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1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171" w:themeFill="accent5" w:themeFillShade="BF"/>
      </w:tcPr>
    </w:tblStylePr>
    <w:tblStylePr w:type="band1Vert">
      <w:tblPr/>
      <w:tcPr>
        <w:tcBorders>
          <w:top w:val="nil"/>
          <w:left w:val="nil"/>
          <w:bottom w:val="nil"/>
          <w:right w:val="nil"/>
          <w:insideH w:val="nil"/>
          <w:insideV w:val="nil"/>
        </w:tcBorders>
        <w:shd w:val="clear" w:color="auto" w:fill="123171" w:themeFill="accent5" w:themeFillShade="BF"/>
      </w:tcPr>
    </w:tblStylePr>
    <w:tblStylePr w:type="band1Horz">
      <w:tblPr/>
      <w:tcPr>
        <w:tcBorders>
          <w:top w:val="nil"/>
          <w:left w:val="nil"/>
          <w:bottom w:val="nil"/>
          <w:right w:val="nil"/>
          <w:insideH w:val="nil"/>
          <w:insideV w:val="nil"/>
        </w:tcBorders>
        <w:shd w:val="clear" w:color="auto" w:fill="123171" w:themeFill="accent5" w:themeFillShade="BF"/>
      </w:tcPr>
    </w:tblStylePr>
  </w:style>
  <w:style w:type="table" w:styleId="DarkList-Accent6">
    <w:name w:val="Dark List Accent 6"/>
    <w:basedOn w:val="TableNormal"/>
    <w:uiPriority w:val="70"/>
    <w:semiHidden/>
    <w:rsid w:val="007755BA"/>
    <w:pPr>
      <w:spacing w:line="240" w:lineRule="auto"/>
    </w:pPr>
    <w:rPr>
      <w:color w:val="FFFFFF" w:themeColor="background1"/>
    </w:rPr>
    <w:tblPr>
      <w:tblStyleRowBandSize w:val="1"/>
      <w:tblStyleColBandSize w:val="1"/>
    </w:tblPr>
    <w:tcPr>
      <w:shd w:val="clear" w:color="auto" w:fill="00AF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3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381" w:themeFill="accent6" w:themeFillShade="BF"/>
      </w:tcPr>
    </w:tblStylePr>
    <w:tblStylePr w:type="band1Vert">
      <w:tblPr/>
      <w:tcPr>
        <w:tcBorders>
          <w:top w:val="nil"/>
          <w:left w:val="nil"/>
          <w:bottom w:val="nil"/>
          <w:right w:val="nil"/>
          <w:insideH w:val="nil"/>
          <w:insideV w:val="nil"/>
        </w:tcBorders>
        <w:shd w:val="clear" w:color="auto" w:fill="008381" w:themeFill="accent6" w:themeFillShade="BF"/>
      </w:tcPr>
    </w:tblStylePr>
    <w:tblStylePr w:type="band1Horz">
      <w:tblPr/>
      <w:tcPr>
        <w:tcBorders>
          <w:top w:val="nil"/>
          <w:left w:val="nil"/>
          <w:bottom w:val="nil"/>
          <w:right w:val="nil"/>
          <w:insideH w:val="nil"/>
          <w:insideV w:val="nil"/>
        </w:tcBorders>
        <w:shd w:val="clear" w:color="auto" w:fill="008381" w:themeFill="accent6" w:themeFillShade="BF"/>
      </w:tcPr>
    </w:tblStylePr>
  </w:style>
  <w:style w:type="table" w:styleId="GridTable1Light">
    <w:name w:val="Grid Table 1 Light"/>
    <w:basedOn w:val="TableNormal"/>
    <w:uiPriority w:val="46"/>
    <w:semiHidden/>
    <w:rsid w:val="007755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55BA"/>
    <w:pPr>
      <w:spacing w:line="240" w:lineRule="auto"/>
    </w:pPr>
    <w:tblPr>
      <w:tblStyleRowBandSize w:val="1"/>
      <w:tblStyleColBandSize w:val="1"/>
      <w:tblBorders>
        <w:top w:val="single" w:sz="4" w:space="0" w:color="92E4FF" w:themeColor="accent1" w:themeTint="66"/>
        <w:left w:val="single" w:sz="4" w:space="0" w:color="92E4FF" w:themeColor="accent1" w:themeTint="66"/>
        <w:bottom w:val="single" w:sz="4" w:space="0" w:color="92E4FF" w:themeColor="accent1" w:themeTint="66"/>
        <w:right w:val="single" w:sz="4" w:space="0" w:color="92E4FF" w:themeColor="accent1" w:themeTint="66"/>
        <w:insideH w:val="single" w:sz="4" w:space="0" w:color="92E4FF" w:themeColor="accent1" w:themeTint="66"/>
        <w:insideV w:val="single" w:sz="4" w:space="0" w:color="92E4FF" w:themeColor="accent1" w:themeTint="66"/>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2" w:space="0" w:color="5B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55BA"/>
    <w:pPr>
      <w:spacing w:line="240" w:lineRule="auto"/>
    </w:pPr>
    <w:tblPr>
      <w:tblStyleRowBandSize w:val="1"/>
      <w:tblStyleColBandSize w:val="1"/>
      <w:tblBorders>
        <w:top w:val="single" w:sz="4" w:space="0" w:color="85C5FF" w:themeColor="accent2" w:themeTint="66"/>
        <w:left w:val="single" w:sz="4" w:space="0" w:color="85C5FF" w:themeColor="accent2" w:themeTint="66"/>
        <w:bottom w:val="single" w:sz="4" w:space="0" w:color="85C5FF" w:themeColor="accent2" w:themeTint="66"/>
        <w:right w:val="single" w:sz="4" w:space="0" w:color="85C5FF" w:themeColor="accent2" w:themeTint="66"/>
        <w:insideH w:val="single" w:sz="4" w:space="0" w:color="85C5FF" w:themeColor="accent2" w:themeTint="66"/>
        <w:insideV w:val="single" w:sz="4" w:space="0" w:color="85C5FF" w:themeColor="accent2" w:themeTint="66"/>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2" w:space="0" w:color="48A8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55BA"/>
    <w:pPr>
      <w:spacing w:line="240" w:lineRule="auto"/>
    </w:pPr>
    <w:tblPr>
      <w:tblStyleRowBandSize w:val="1"/>
      <w:tblStyleColBandSize w:val="1"/>
      <w:tblBorders>
        <w:top w:val="single" w:sz="4" w:space="0" w:color="CBECFF" w:themeColor="accent3" w:themeTint="66"/>
        <w:left w:val="single" w:sz="4" w:space="0" w:color="CBECFF" w:themeColor="accent3" w:themeTint="66"/>
        <w:bottom w:val="single" w:sz="4" w:space="0" w:color="CBECFF" w:themeColor="accent3" w:themeTint="66"/>
        <w:right w:val="single" w:sz="4" w:space="0" w:color="CBECFF" w:themeColor="accent3" w:themeTint="66"/>
        <w:insideH w:val="single" w:sz="4" w:space="0" w:color="CBECFF" w:themeColor="accent3" w:themeTint="66"/>
        <w:insideV w:val="single" w:sz="4" w:space="0" w:color="CBECFF" w:themeColor="accent3" w:themeTint="66"/>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2" w:space="0" w:color="B1E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55BA"/>
    <w:pPr>
      <w:spacing w:line="240" w:lineRule="auto"/>
    </w:pPr>
    <w:tblPr>
      <w:tblStyleRowBandSize w:val="1"/>
      <w:tblStyleColBandSize w:val="1"/>
      <w:tblBorders>
        <w:top w:val="single" w:sz="4" w:space="0" w:color="90D5FF" w:themeColor="accent4" w:themeTint="66"/>
        <w:left w:val="single" w:sz="4" w:space="0" w:color="90D5FF" w:themeColor="accent4" w:themeTint="66"/>
        <w:bottom w:val="single" w:sz="4" w:space="0" w:color="90D5FF" w:themeColor="accent4" w:themeTint="66"/>
        <w:right w:val="single" w:sz="4" w:space="0" w:color="90D5FF" w:themeColor="accent4" w:themeTint="66"/>
        <w:insideH w:val="single" w:sz="4" w:space="0" w:color="90D5FF" w:themeColor="accent4" w:themeTint="66"/>
        <w:insideV w:val="single" w:sz="4" w:space="0" w:color="90D5FF" w:themeColor="accent4" w:themeTint="66"/>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2" w:space="0" w:color="59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55BA"/>
    <w:pPr>
      <w:spacing w:line="240" w:lineRule="auto"/>
    </w:pPr>
    <w:tblPr>
      <w:tblStyleRowBandSize w:val="1"/>
      <w:tblStyleColBandSize w:val="1"/>
      <w:tblBorders>
        <w:top w:val="single" w:sz="4" w:space="0" w:color="8BABEC" w:themeColor="accent5" w:themeTint="66"/>
        <w:left w:val="single" w:sz="4" w:space="0" w:color="8BABEC" w:themeColor="accent5" w:themeTint="66"/>
        <w:bottom w:val="single" w:sz="4" w:space="0" w:color="8BABEC" w:themeColor="accent5" w:themeTint="66"/>
        <w:right w:val="single" w:sz="4" w:space="0" w:color="8BABEC" w:themeColor="accent5" w:themeTint="66"/>
        <w:insideH w:val="single" w:sz="4" w:space="0" w:color="8BABEC" w:themeColor="accent5" w:themeTint="66"/>
        <w:insideV w:val="single" w:sz="4" w:space="0" w:color="8BABEC" w:themeColor="accent5" w:themeTint="66"/>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2" w:space="0" w:color="5182E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55BA"/>
    <w:pPr>
      <w:spacing w:line="240" w:lineRule="auto"/>
    </w:pPr>
    <w:tblPr>
      <w:tblStyleRowBandSize w:val="1"/>
      <w:tblStyleColBandSize w:val="1"/>
      <w:tblBorders>
        <w:top w:val="single" w:sz="4" w:space="0" w:color="79FFFD" w:themeColor="accent6" w:themeTint="66"/>
        <w:left w:val="single" w:sz="4" w:space="0" w:color="79FFFD" w:themeColor="accent6" w:themeTint="66"/>
        <w:bottom w:val="single" w:sz="4" w:space="0" w:color="79FFFD" w:themeColor="accent6" w:themeTint="66"/>
        <w:right w:val="single" w:sz="4" w:space="0" w:color="79FFFD" w:themeColor="accent6" w:themeTint="66"/>
        <w:insideH w:val="single" w:sz="4" w:space="0" w:color="79FFFD" w:themeColor="accent6" w:themeTint="66"/>
        <w:insideV w:val="single" w:sz="4" w:space="0" w:color="79FFFD" w:themeColor="accent6" w:themeTint="66"/>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2" w:space="0" w:color="36FFF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55B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55BA"/>
    <w:pPr>
      <w:spacing w:line="240" w:lineRule="auto"/>
    </w:pPr>
    <w:tblPr>
      <w:tblStyleRowBandSize w:val="1"/>
      <w:tblStyleColBandSize w:val="1"/>
      <w:tblBorders>
        <w:top w:val="single" w:sz="2" w:space="0" w:color="5BD6FF" w:themeColor="accent1" w:themeTint="99"/>
        <w:bottom w:val="single" w:sz="2" w:space="0" w:color="5BD6FF" w:themeColor="accent1" w:themeTint="99"/>
        <w:insideH w:val="single" w:sz="2" w:space="0" w:color="5BD6FF" w:themeColor="accent1" w:themeTint="99"/>
        <w:insideV w:val="single" w:sz="2" w:space="0" w:color="5BD6FF" w:themeColor="accent1" w:themeTint="99"/>
      </w:tblBorders>
    </w:tblPr>
    <w:tblStylePr w:type="firstRow">
      <w:rPr>
        <w:b/>
        <w:bCs/>
      </w:rPr>
      <w:tblPr/>
      <w:tcPr>
        <w:tcBorders>
          <w:top w:val="nil"/>
          <w:bottom w:val="single" w:sz="12" w:space="0" w:color="5BD6FF" w:themeColor="accent1" w:themeTint="99"/>
          <w:insideH w:val="nil"/>
          <w:insideV w:val="nil"/>
        </w:tcBorders>
        <w:shd w:val="clear" w:color="auto" w:fill="FFFFFF" w:themeFill="background1"/>
      </w:tcPr>
    </w:tblStylePr>
    <w:tblStylePr w:type="lastRow">
      <w:rPr>
        <w:b/>
        <w:bCs/>
      </w:rPr>
      <w:tblPr/>
      <w:tcPr>
        <w:tcBorders>
          <w:top w:val="double" w:sz="2" w:space="0" w:color="5B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2-Accent2">
    <w:name w:val="Grid Table 2 Accent 2"/>
    <w:basedOn w:val="TableNormal"/>
    <w:uiPriority w:val="47"/>
    <w:semiHidden/>
    <w:rsid w:val="007755BA"/>
    <w:pPr>
      <w:spacing w:line="240" w:lineRule="auto"/>
    </w:pPr>
    <w:tblPr>
      <w:tblStyleRowBandSize w:val="1"/>
      <w:tblStyleColBandSize w:val="1"/>
      <w:tblBorders>
        <w:top w:val="single" w:sz="2" w:space="0" w:color="48A8FF" w:themeColor="accent2" w:themeTint="99"/>
        <w:bottom w:val="single" w:sz="2" w:space="0" w:color="48A8FF" w:themeColor="accent2" w:themeTint="99"/>
        <w:insideH w:val="single" w:sz="2" w:space="0" w:color="48A8FF" w:themeColor="accent2" w:themeTint="99"/>
        <w:insideV w:val="single" w:sz="2" w:space="0" w:color="48A8FF" w:themeColor="accent2" w:themeTint="99"/>
      </w:tblBorders>
    </w:tblPr>
    <w:tblStylePr w:type="firstRow">
      <w:rPr>
        <w:b/>
        <w:bCs/>
      </w:rPr>
      <w:tblPr/>
      <w:tcPr>
        <w:tcBorders>
          <w:top w:val="nil"/>
          <w:bottom w:val="single" w:sz="12" w:space="0" w:color="48A8FF" w:themeColor="accent2" w:themeTint="99"/>
          <w:insideH w:val="nil"/>
          <w:insideV w:val="nil"/>
        </w:tcBorders>
        <w:shd w:val="clear" w:color="auto" w:fill="FFFFFF" w:themeFill="background1"/>
      </w:tcPr>
    </w:tblStylePr>
    <w:tblStylePr w:type="lastRow">
      <w:rPr>
        <w:b/>
        <w:bCs/>
      </w:rPr>
      <w:tblPr/>
      <w:tcPr>
        <w:tcBorders>
          <w:top w:val="double" w:sz="2" w:space="0" w:color="48A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2-Accent3">
    <w:name w:val="Grid Table 2 Accent 3"/>
    <w:basedOn w:val="TableNormal"/>
    <w:uiPriority w:val="47"/>
    <w:semiHidden/>
    <w:rsid w:val="007755BA"/>
    <w:pPr>
      <w:spacing w:line="240" w:lineRule="auto"/>
    </w:pPr>
    <w:tblPr>
      <w:tblStyleRowBandSize w:val="1"/>
      <w:tblStyleColBandSize w:val="1"/>
      <w:tblBorders>
        <w:top w:val="single" w:sz="2" w:space="0" w:color="B1E3FF" w:themeColor="accent3" w:themeTint="99"/>
        <w:bottom w:val="single" w:sz="2" w:space="0" w:color="B1E3FF" w:themeColor="accent3" w:themeTint="99"/>
        <w:insideH w:val="single" w:sz="2" w:space="0" w:color="B1E3FF" w:themeColor="accent3" w:themeTint="99"/>
        <w:insideV w:val="single" w:sz="2" w:space="0" w:color="B1E3FF" w:themeColor="accent3" w:themeTint="99"/>
      </w:tblBorders>
    </w:tblPr>
    <w:tblStylePr w:type="firstRow">
      <w:rPr>
        <w:b/>
        <w:bCs/>
      </w:rPr>
      <w:tblPr/>
      <w:tcPr>
        <w:tcBorders>
          <w:top w:val="nil"/>
          <w:bottom w:val="single" w:sz="12" w:space="0" w:color="B1E3FF" w:themeColor="accent3" w:themeTint="99"/>
          <w:insideH w:val="nil"/>
          <w:insideV w:val="nil"/>
        </w:tcBorders>
        <w:shd w:val="clear" w:color="auto" w:fill="FFFFFF" w:themeFill="background1"/>
      </w:tcPr>
    </w:tblStylePr>
    <w:tblStylePr w:type="lastRow">
      <w:rPr>
        <w:b/>
        <w:bCs/>
      </w:rPr>
      <w:tblPr/>
      <w:tcPr>
        <w:tcBorders>
          <w:top w:val="double" w:sz="2" w:space="0" w:color="B1E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2-Accent4">
    <w:name w:val="Grid Table 2 Accent 4"/>
    <w:basedOn w:val="TableNormal"/>
    <w:uiPriority w:val="47"/>
    <w:semiHidden/>
    <w:rsid w:val="007755BA"/>
    <w:pPr>
      <w:spacing w:line="240" w:lineRule="auto"/>
    </w:pPr>
    <w:tblPr>
      <w:tblStyleRowBandSize w:val="1"/>
      <w:tblStyleColBandSize w:val="1"/>
      <w:tblBorders>
        <w:top w:val="single" w:sz="2" w:space="0" w:color="59C1FF" w:themeColor="accent4" w:themeTint="99"/>
        <w:bottom w:val="single" w:sz="2" w:space="0" w:color="59C1FF" w:themeColor="accent4" w:themeTint="99"/>
        <w:insideH w:val="single" w:sz="2" w:space="0" w:color="59C1FF" w:themeColor="accent4" w:themeTint="99"/>
        <w:insideV w:val="single" w:sz="2" w:space="0" w:color="59C1FF" w:themeColor="accent4" w:themeTint="99"/>
      </w:tblBorders>
    </w:tblPr>
    <w:tblStylePr w:type="firstRow">
      <w:rPr>
        <w:b/>
        <w:bCs/>
      </w:rPr>
      <w:tblPr/>
      <w:tcPr>
        <w:tcBorders>
          <w:top w:val="nil"/>
          <w:bottom w:val="single" w:sz="12" w:space="0" w:color="59C1FF" w:themeColor="accent4" w:themeTint="99"/>
          <w:insideH w:val="nil"/>
          <w:insideV w:val="nil"/>
        </w:tcBorders>
        <w:shd w:val="clear" w:color="auto" w:fill="FFFFFF" w:themeFill="background1"/>
      </w:tcPr>
    </w:tblStylePr>
    <w:tblStylePr w:type="lastRow">
      <w:rPr>
        <w:b/>
        <w:bCs/>
      </w:rPr>
      <w:tblPr/>
      <w:tcPr>
        <w:tcBorders>
          <w:top w:val="double" w:sz="2" w:space="0" w:color="59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2-Accent5">
    <w:name w:val="Grid Table 2 Accent 5"/>
    <w:basedOn w:val="TableNormal"/>
    <w:uiPriority w:val="47"/>
    <w:semiHidden/>
    <w:rsid w:val="007755BA"/>
    <w:pPr>
      <w:spacing w:line="240" w:lineRule="auto"/>
    </w:pPr>
    <w:tblPr>
      <w:tblStyleRowBandSize w:val="1"/>
      <w:tblStyleColBandSize w:val="1"/>
      <w:tblBorders>
        <w:top w:val="single" w:sz="2" w:space="0" w:color="5182E3" w:themeColor="accent5" w:themeTint="99"/>
        <w:bottom w:val="single" w:sz="2" w:space="0" w:color="5182E3" w:themeColor="accent5" w:themeTint="99"/>
        <w:insideH w:val="single" w:sz="2" w:space="0" w:color="5182E3" w:themeColor="accent5" w:themeTint="99"/>
        <w:insideV w:val="single" w:sz="2" w:space="0" w:color="5182E3" w:themeColor="accent5" w:themeTint="99"/>
      </w:tblBorders>
    </w:tblPr>
    <w:tblStylePr w:type="firstRow">
      <w:rPr>
        <w:b/>
        <w:bCs/>
      </w:rPr>
      <w:tblPr/>
      <w:tcPr>
        <w:tcBorders>
          <w:top w:val="nil"/>
          <w:bottom w:val="single" w:sz="12" w:space="0" w:color="5182E3" w:themeColor="accent5" w:themeTint="99"/>
          <w:insideH w:val="nil"/>
          <w:insideV w:val="nil"/>
        </w:tcBorders>
        <w:shd w:val="clear" w:color="auto" w:fill="FFFFFF" w:themeFill="background1"/>
      </w:tcPr>
    </w:tblStylePr>
    <w:tblStylePr w:type="lastRow">
      <w:rPr>
        <w:b/>
        <w:bCs/>
      </w:rPr>
      <w:tblPr/>
      <w:tcPr>
        <w:tcBorders>
          <w:top w:val="double" w:sz="2" w:space="0" w:color="5182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2-Accent6">
    <w:name w:val="Grid Table 2 Accent 6"/>
    <w:basedOn w:val="TableNormal"/>
    <w:uiPriority w:val="47"/>
    <w:semiHidden/>
    <w:rsid w:val="007755BA"/>
    <w:pPr>
      <w:spacing w:line="240" w:lineRule="auto"/>
    </w:pPr>
    <w:tblPr>
      <w:tblStyleRowBandSize w:val="1"/>
      <w:tblStyleColBandSize w:val="1"/>
      <w:tblBorders>
        <w:top w:val="single" w:sz="2" w:space="0" w:color="36FFFD" w:themeColor="accent6" w:themeTint="99"/>
        <w:bottom w:val="single" w:sz="2" w:space="0" w:color="36FFFD" w:themeColor="accent6" w:themeTint="99"/>
        <w:insideH w:val="single" w:sz="2" w:space="0" w:color="36FFFD" w:themeColor="accent6" w:themeTint="99"/>
        <w:insideV w:val="single" w:sz="2" w:space="0" w:color="36FFFD" w:themeColor="accent6" w:themeTint="99"/>
      </w:tblBorders>
    </w:tblPr>
    <w:tblStylePr w:type="firstRow">
      <w:rPr>
        <w:b/>
        <w:bCs/>
      </w:rPr>
      <w:tblPr/>
      <w:tcPr>
        <w:tcBorders>
          <w:top w:val="nil"/>
          <w:bottom w:val="single" w:sz="12" w:space="0" w:color="36FFFD" w:themeColor="accent6" w:themeTint="99"/>
          <w:insideH w:val="nil"/>
          <w:insideV w:val="nil"/>
        </w:tcBorders>
        <w:shd w:val="clear" w:color="auto" w:fill="FFFFFF" w:themeFill="background1"/>
      </w:tcPr>
    </w:tblStylePr>
    <w:tblStylePr w:type="lastRow">
      <w:rPr>
        <w:b/>
        <w:bCs/>
      </w:rPr>
      <w:tblPr/>
      <w:tcPr>
        <w:tcBorders>
          <w:top w:val="double" w:sz="2" w:space="0" w:color="36FFF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3">
    <w:name w:val="Grid Table 3"/>
    <w:basedOn w:val="TableNormal"/>
    <w:uiPriority w:val="48"/>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3-Accent2">
    <w:name w:val="Grid Table 3 Accent 2"/>
    <w:basedOn w:val="TableNormal"/>
    <w:uiPriority w:val="48"/>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3-Accent3">
    <w:name w:val="Grid Table 3 Accent 3"/>
    <w:basedOn w:val="TableNormal"/>
    <w:uiPriority w:val="48"/>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3-Accent4">
    <w:name w:val="Grid Table 3 Accent 4"/>
    <w:basedOn w:val="TableNormal"/>
    <w:uiPriority w:val="48"/>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3-Accent5">
    <w:name w:val="Grid Table 3 Accent 5"/>
    <w:basedOn w:val="TableNormal"/>
    <w:uiPriority w:val="48"/>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3-Accent6">
    <w:name w:val="Grid Table 3 Accent 6"/>
    <w:basedOn w:val="TableNormal"/>
    <w:uiPriority w:val="48"/>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GridTable4">
    <w:name w:val="Grid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insideV w:val="nil"/>
        </w:tcBorders>
        <w:shd w:val="clear" w:color="auto" w:fill="00B4EE" w:themeFill="accent1"/>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4-Accent2">
    <w:name w:val="Grid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insideV w:val="nil"/>
        </w:tcBorders>
        <w:shd w:val="clear" w:color="auto" w:fill="006CCD" w:themeFill="accent2"/>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4-Accent3">
    <w:name w:val="Grid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insideV w:val="nil"/>
        </w:tcBorders>
        <w:shd w:val="clear" w:color="auto" w:fill="7ED2FF" w:themeFill="accent3"/>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4-Accent4">
    <w:name w:val="Grid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insideV w:val="nil"/>
        </w:tcBorders>
        <w:shd w:val="clear" w:color="auto" w:fill="0093EA" w:themeFill="accent4"/>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4-Accent5">
    <w:name w:val="Grid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insideV w:val="nil"/>
        </w:tcBorders>
        <w:shd w:val="clear" w:color="auto" w:fill="184398" w:themeFill="accent5"/>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4-Accent6">
    <w:name w:val="Grid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insideV w:val="nil"/>
        </w:tcBorders>
        <w:shd w:val="clear" w:color="auto" w:fill="00AFAE" w:themeFill="accent6"/>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5Dark">
    <w:name w:val="Grid Table 5 Dark"/>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E" w:themeFill="accent1"/>
      </w:tcPr>
    </w:tblStylePr>
    <w:tblStylePr w:type="band1Vert">
      <w:tblPr/>
      <w:tcPr>
        <w:shd w:val="clear" w:color="auto" w:fill="92E4FF" w:themeFill="accent1" w:themeFillTint="66"/>
      </w:tcPr>
    </w:tblStylePr>
    <w:tblStylePr w:type="band1Horz">
      <w:tblPr/>
      <w:tcPr>
        <w:shd w:val="clear" w:color="auto" w:fill="92E4FF" w:themeFill="accent1" w:themeFillTint="66"/>
      </w:tcPr>
    </w:tblStylePr>
  </w:style>
  <w:style w:type="table" w:styleId="GridTable5Dark-Accent2">
    <w:name w:val="Grid Table 5 Dark Accent 2"/>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CC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CC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CC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CCD" w:themeFill="accent2"/>
      </w:tcPr>
    </w:tblStylePr>
    <w:tblStylePr w:type="band1Vert">
      <w:tblPr/>
      <w:tcPr>
        <w:shd w:val="clear" w:color="auto" w:fill="85C5FF" w:themeFill="accent2" w:themeFillTint="66"/>
      </w:tcPr>
    </w:tblStylePr>
    <w:tblStylePr w:type="band1Horz">
      <w:tblPr/>
      <w:tcPr>
        <w:shd w:val="clear" w:color="auto" w:fill="85C5FF" w:themeFill="accent2" w:themeFillTint="66"/>
      </w:tcPr>
    </w:tblStylePr>
  </w:style>
  <w:style w:type="table" w:styleId="GridTable5Dark-Accent3">
    <w:name w:val="Grid Table 5 Dark Accent 3"/>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D2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D2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D2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D2FF" w:themeFill="accent3"/>
      </w:tcPr>
    </w:tblStylePr>
    <w:tblStylePr w:type="band1Vert">
      <w:tblPr/>
      <w:tcPr>
        <w:shd w:val="clear" w:color="auto" w:fill="CBECFF" w:themeFill="accent3" w:themeFillTint="66"/>
      </w:tcPr>
    </w:tblStylePr>
    <w:tblStylePr w:type="band1Horz">
      <w:tblPr/>
      <w:tcPr>
        <w:shd w:val="clear" w:color="auto" w:fill="CBECFF" w:themeFill="accent3" w:themeFillTint="66"/>
      </w:tcPr>
    </w:tblStylePr>
  </w:style>
  <w:style w:type="table" w:styleId="GridTable5Dark-Accent4">
    <w:name w:val="Grid Table 5 Dark Accent 4"/>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3E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3E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3E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3EA" w:themeFill="accent4"/>
      </w:tcPr>
    </w:tblStylePr>
    <w:tblStylePr w:type="band1Vert">
      <w:tblPr/>
      <w:tcPr>
        <w:shd w:val="clear" w:color="auto" w:fill="90D5FF" w:themeFill="accent4" w:themeFillTint="66"/>
      </w:tcPr>
    </w:tblStylePr>
    <w:tblStylePr w:type="band1Horz">
      <w:tblPr/>
      <w:tcPr>
        <w:shd w:val="clear" w:color="auto" w:fill="90D5FF" w:themeFill="accent4" w:themeFillTint="66"/>
      </w:tcPr>
    </w:tblStylePr>
  </w:style>
  <w:style w:type="table" w:styleId="GridTable5Dark-Accent5">
    <w:name w:val="Grid Table 5 Dark Accent 5"/>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5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39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39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39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398" w:themeFill="accent5"/>
      </w:tcPr>
    </w:tblStylePr>
    <w:tblStylePr w:type="band1Vert">
      <w:tblPr/>
      <w:tcPr>
        <w:shd w:val="clear" w:color="auto" w:fill="8BABEC" w:themeFill="accent5" w:themeFillTint="66"/>
      </w:tcPr>
    </w:tblStylePr>
    <w:tblStylePr w:type="band1Horz">
      <w:tblPr/>
      <w:tcPr>
        <w:shd w:val="clear" w:color="auto" w:fill="8BABEC" w:themeFill="accent5" w:themeFillTint="66"/>
      </w:tcPr>
    </w:tblStylePr>
  </w:style>
  <w:style w:type="table" w:styleId="GridTable5Dark-Accent6">
    <w:name w:val="Grid Table 5 Dark Accent 6"/>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AE" w:themeFill="accent6"/>
      </w:tcPr>
    </w:tblStylePr>
    <w:tblStylePr w:type="band1Vert">
      <w:tblPr/>
      <w:tcPr>
        <w:shd w:val="clear" w:color="auto" w:fill="79FFFD" w:themeFill="accent6" w:themeFillTint="66"/>
      </w:tcPr>
    </w:tblStylePr>
    <w:tblStylePr w:type="band1Horz">
      <w:tblPr/>
      <w:tcPr>
        <w:shd w:val="clear" w:color="auto" w:fill="79FFFD" w:themeFill="accent6" w:themeFillTint="66"/>
      </w:tcPr>
    </w:tblStylePr>
  </w:style>
  <w:style w:type="table" w:styleId="GridTable6Colorful">
    <w:name w:val="Grid Table 6 Colorful"/>
    <w:basedOn w:val="TableNormal"/>
    <w:uiPriority w:val="51"/>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6Colorful-Accent2">
    <w:name w:val="Grid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6Colorful-Accent3">
    <w:name w:val="Grid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6Colorful-Accent4">
    <w:name w:val="Grid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6Colorful-Accent5">
    <w:name w:val="Grid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6Colorful-Accent6">
    <w:name w:val="Grid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7Colorful">
    <w:name w:val="Grid Table 7 Colorful"/>
    <w:basedOn w:val="TableNormal"/>
    <w:uiPriority w:val="52"/>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7Colorful-Accent2">
    <w:name w:val="Grid Table 7 Colorful Accent 2"/>
    <w:basedOn w:val="TableNormal"/>
    <w:uiPriority w:val="52"/>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7Colorful-Accent3">
    <w:name w:val="Grid Table 7 Colorful Accent 3"/>
    <w:basedOn w:val="TableNormal"/>
    <w:uiPriority w:val="52"/>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7Colorful-Accent4">
    <w:name w:val="Grid Table 7 Colorful Accent 4"/>
    <w:basedOn w:val="TableNormal"/>
    <w:uiPriority w:val="52"/>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7Colorful-Accent5">
    <w:name w:val="Grid Table 7 Colorful Accent 5"/>
    <w:basedOn w:val="TableNormal"/>
    <w:uiPriority w:val="52"/>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7Colorful-Accent6">
    <w:name w:val="Grid Table 7 Colorful Accent 6"/>
    <w:basedOn w:val="TableNormal"/>
    <w:uiPriority w:val="52"/>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LightGrid">
    <w:name w:val="Light Grid"/>
    <w:basedOn w:val="TableNormal"/>
    <w:uiPriority w:val="62"/>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18" w:space="0" w:color="00B4EE" w:themeColor="accent1"/>
          <w:right w:val="single" w:sz="8" w:space="0" w:color="00B4EE" w:themeColor="accent1"/>
          <w:insideH w:val="nil"/>
          <w:insideV w:val="single" w:sz="8" w:space="0" w:color="00B4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insideH w:val="nil"/>
          <w:insideV w:val="single" w:sz="8" w:space="0" w:color="00B4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shd w:val="clear" w:color="auto" w:fill="BBEEFF" w:themeFill="accent1" w:themeFillTint="3F"/>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shd w:val="clear" w:color="auto" w:fill="BBEEFF" w:themeFill="accent1" w:themeFillTint="3F"/>
      </w:tcPr>
    </w:tblStylePr>
    <w:tblStylePr w:type="band2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tcPr>
    </w:tblStylePr>
  </w:style>
  <w:style w:type="table" w:styleId="LightGrid-Accent2">
    <w:name w:val="Light Grid Accent 2"/>
    <w:basedOn w:val="TableNormal"/>
    <w:uiPriority w:val="62"/>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18" w:space="0" w:color="006CCD" w:themeColor="accent2"/>
          <w:right w:val="single" w:sz="8" w:space="0" w:color="006CCD" w:themeColor="accent2"/>
          <w:insideH w:val="nil"/>
          <w:insideV w:val="single" w:sz="8" w:space="0" w:color="006C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insideH w:val="nil"/>
          <w:insideV w:val="single" w:sz="8" w:space="0" w:color="006C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shd w:val="clear" w:color="auto" w:fill="B3DBFF" w:themeFill="accent2" w:themeFillTint="3F"/>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shd w:val="clear" w:color="auto" w:fill="B3DBFF" w:themeFill="accent2" w:themeFillTint="3F"/>
      </w:tcPr>
    </w:tblStylePr>
    <w:tblStylePr w:type="band2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tcPr>
    </w:tblStylePr>
  </w:style>
  <w:style w:type="table" w:styleId="LightGrid-Accent3">
    <w:name w:val="Light Grid Accent 3"/>
    <w:basedOn w:val="TableNormal"/>
    <w:uiPriority w:val="62"/>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18" w:space="0" w:color="7ED2FF" w:themeColor="accent3"/>
          <w:right w:val="single" w:sz="8" w:space="0" w:color="7ED2FF" w:themeColor="accent3"/>
          <w:insideH w:val="nil"/>
          <w:insideV w:val="single" w:sz="8" w:space="0" w:color="7ED2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insideH w:val="nil"/>
          <w:insideV w:val="single" w:sz="8" w:space="0" w:color="7ED2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shd w:val="clear" w:color="auto" w:fill="DFF3FF" w:themeFill="accent3" w:themeFillTint="3F"/>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shd w:val="clear" w:color="auto" w:fill="DFF3FF" w:themeFill="accent3" w:themeFillTint="3F"/>
      </w:tcPr>
    </w:tblStylePr>
    <w:tblStylePr w:type="band2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tcPr>
    </w:tblStylePr>
  </w:style>
  <w:style w:type="table" w:styleId="LightGrid-Accent4">
    <w:name w:val="Light Grid Accent 4"/>
    <w:basedOn w:val="TableNormal"/>
    <w:uiPriority w:val="62"/>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18" w:space="0" w:color="0093EA" w:themeColor="accent4"/>
          <w:right w:val="single" w:sz="8" w:space="0" w:color="0093EA" w:themeColor="accent4"/>
          <w:insideH w:val="nil"/>
          <w:insideV w:val="single" w:sz="8" w:space="0" w:color="0093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insideH w:val="nil"/>
          <w:insideV w:val="single" w:sz="8" w:space="0" w:color="0093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shd w:val="clear" w:color="auto" w:fill="BAE5FF" w:themeFill="accent4" w:themeFillTint="3F"/>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shd w:val="clear" w:color="auto" w:fill="BAE5FF" w:themeFill="accent4" w:themeFillTint="3F"/>
      </w:tcPr>
    </w:tblStylePr>
    <w:tblStylePr w:type="band2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tcPr>
    </w:tblStylePr>
  </w:style>
  <w:style w:type="table" w:styleId="LightGrid-Accent5">
    <w:name w:val="Light Grid Accent 5"/>
    <w:basedOn w:val="TableNormal"/>
    <w:uiPriority w:val="62"/>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18" w:space="0" w:color="184398" w:themeColor="accent5"/>
          <w:right w:val="single" w:sz="8" w:space="0" w:color="184398" w:themeColor="accent5"/>
          <w:insideH w:val="nil"/>
          <w:insideV w:val="single" w:sz="8" w:space="0" w:color="1843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insideH w:val="nil"/>
          <w:insideV w:val="single" w:sz="8" w:space="0" w:color="1843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shd w:val="clear" w:color="auto" w:fill="B7CBF3" w:themeFill="accent5" w:themeFillTint="3F"/>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shd w:val="clear" w:color="auto" w:fill="B7CBF3" w:themeFill="accent5" w:themeFillTint="3F"/>
      </w:tcPr>
    </w:tblStylePr>
    <w:tblStylePr w:type="band2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tcPr>
    </w:tblStylePr>
  </w:style>
  <w:style w:type="table" w:styleId="LightGrid-Accent6">
    <w:name w:val="Light Grid Accent 6"/>
    <w:basedOn w:val="TableNormal"/>
    <w:uiPriority w:val="62"/>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18" w:space="0" w:color="00AFAE" w:themeColor="accent6"/>
          <w:right w:val="single" w:sz="8" w:space="0" w:color="00AFAE" w:themeColor="accent6"/>
          <w:insideH w:val="nil"/>
          <w:insideV w:val="single" w:sz="8" w:space="0" w:color="00AF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insideH w:val="nil"/>
          <w:insideV w:val="single" w:sz="8" w:space="0" w:color="00AF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shd w:val="clear" w:color="auto" w:fill="ACFFFE" w:themeFill="accent6" w:themeFillTint="3F"/>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shd w:val="clear" w:color="auto" w:fill="ACFFFE" w:themeFill="accent6" w:themeFillTint="3F"/>
      </w:tcPr>
    </w:tblStylePr>
    <w:tblStylePr w:type="band2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tcPr>
    </w:tblStylePr>
  </w:style>
  <w:style w:type="table" w:styleId="LightList">
    <w:name w:val="Light List"/>
    <w:basedOn w:val="TableNormal"/>
    <w:uiPriority w:val="61"/>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pPr>
        <w:spacing w:before="0" w:after="0" w:line="240" w:lineRule="auto"/>
      </w:pPr>
      <w:rPr>
        <w:b/>
        <w:bCs/>
        <w:color w:val="FFFFFF" w:themeColor="background1"/>
      </w:rPr>
      <w:tblPr/>
      <w:tcPr>
        <w:shd w:val="clear" w:color="auto" w:fill="00B4EE" w:themeFill="accent1"/>
      </w:tcPr>
    </w:tblStylePr>
    <w:tblStylePr w:type="lastRow">
      <w:pPr>
        <w:spacing w:before="0" w:after="0" w:line="240" w:lineRule="auto"/>
      </w:pPr>
      <w:rPr>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tcBorders>
      </w:tcPr>
    </w:tblStylePr>
    <w:tblStylePr w:type="firstCol">
      <w:rPr>
        <w:b/>
        <w:bCs/>
      </w:rPr>
    </w:tblStylePr>
    <w:tblStylePr w:type="lastCol">
      <w:rPr>
        <w:b/>
        <w:bCs/>
      </w:r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style>
  <w:style w:type="table" w:styleId="LightList-Accent2">
    <w:name w:val="Light List Accent 2"/>
    <w:basedOn w:val="TableNormal"/>
    <w:uiPriority w:val="61"/>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pPr>
        <w:spacing w:before="0" w:after="0" w:line="240" w:lineRule="auto"/>
      </w:pPr>
      <w:rPr>
        <w:b/>
        <w:bCs/>
        <w:color w:val="FFFFFF" w:themeColor="background1"/>
      </w:rPr>
      <w:tblPr/>
      <w:tcPr>
        <w:shd w:val="clear" w:color="auto" w:fill="006CCD" w:themeFill="accent2"/>
      </w:tcPr>
    </w:tblStylePr>
    <w:tblStylePr w:type="lastRow">
      <w:pPr>
        <w:spacing w:before="0" w:after="0" w:line="240" w:lineRule="auto"/>
      </w:pPr>
      <w:rPr>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tcBorders>
      </w:tcPr>
    </w:tblStylePr>
    <w:tblStylePr w:type="firstCol">
      <w:rPr>
        <w:b/>
        <w:bCs/>
      </w:rPr>
    </w:tblStylePr>
    <w:tblStylePr w:type="lastCol">
      <w:rPr>
        <w:b/>
        <w:bCs/>
      </w:r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style>
  <w:style w:type="table" w:styleId="LightList-Accent3">
    <w:name w:val="Light List Accent 3"/>
    <w:basedOn w:val="TableNormal"/>
    <w:uiPriority w:val="61"/>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pPr>
        <w:spacing w:before="0" w:after="0" w:line="240" w:lineRule="auto"/>
      </w:pPr>
      <w:rPr>
        <w:b/>
        <w:bCs/>
        <w:color w:val="FFFFFF" w:themeColor="background1"/>
      </w:rPr>
      <w:tblPr/>
      <w:tcPr>
        <w:shd w:val="clear" w:color="auto" w:fill="7ED2FF" w:themeFill="accent3"/>
      </w:tcPr>
    </w:tblStylePr>
    <w:tblStylePr w:type="lastRow">
      <w:pPr>
        <w:spacing w:before="0" w:after="0" w:line="240" w:lineRule="auto"/>
      </w:pPr>
      <w:rPr>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tcBorders>
      </w:tcPr>
    </w:tblStylePr>
    <w:tblStylePr w:type="firstCol">
      <w:rPr>
        <w:b/>
        <w:bCs/>
      </w:rPr>
    </w:tblStylePr>
    <w:tblStylePr w:type="lastCol">
      <w:rPr>
        <w:b/>
        <w:bCs/>
      </w:r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style>
  <w:style w:type="table" w:styleId="LightList-Accent4">
    <w:name w:val="Light List Accent 4"/>
    <w:basedOn w:val="TableNormal"/>
    <w:uiPriority w:val="61"/>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pPr>
        <w:spacing w:before="0" w:after="0" w:line="240" w:lineRule="auto"/>
      </w:pPr>
      <w:rPr>
        <w:b/>
        <w:bCs/>
        <w:color w:val="FFFFFF" w:themeColor="background1"/>
      </w:rPr>
      <w:tblPr/>
      <w:tcPr>
        <w:shd w:val="clear" w:color="auto" w:fill="0093EA" w:themeFill="accent4"/>
      </w:tcPr>
    </w:tblStylePr>
    <w:tblStylePr w:type="lastRow">
      <w:pPr>
        <w:spacing w:before="0" w:after="0" w:line="240" w:lineRule="auto"/>
      </w:pPr>
      <w:rPr>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tcBorders>
      </w:tcPr>
    </w:tblStylePr>
    <w:tblStylePr w:type="firstCol">
      <w:rPr>
        <w:b/>
        <w:bCs/>
      </w:rPr>
    </w:tblStylePr>
    <w:tblStylePr w:type="lastCol">
      <w:rPr>
        <w:b/>
        <w:bCs/>
      </w:r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style>
  <w:style w:type="table" w:styleId="LightList-Accent5">
    <w:name w:val="Light List Accent 5"/>
    <w:basedOn w:val="TableNormal"/>
    <w:uiPriority w:val="61"/>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pPr>
        <w:spacing w:before="0" w:after="0" w:line="240" w:lineRule="auto"/>
      </w:pPr>
      <w:rPr>
        <w:b/>
        <w:bCs/>
        <w:color w:val="FFFFFF" w:themeColor="background1"/>
      </w:rPr>
      <w:tblPr/>
      <w:tcPr>
        <w:shd w:val="clear" w:color="auto" w:fill="184398" w:themeFill="accent5"/>
      </w:tcPr>
    </w:tblStylePr>
    <w:tblStylePr w:type="lastRow">
      <w:pPr>
        <w:spacing w:before="0" w:after="0" w:line="240" w:lineRule="auto"/>
      </w:pPr>
      <w:rPr>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tcBorders>
      </w:tcPr>
    </w:tblStylePr>
    <w:tblStylePr w:type="firstCol">
      <w:rPr>
        <w:b/>
        <w:bCs/>
      </w:rPr>
    </w:tblStylePr>
    <w:tblStylePr w:type="lastCol">
      <w:rPr>
        <w:b/>
        <w:bCs/>
      </w:r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style>
  <w:style w:type="table" w:styleId="LightList-Accent6">
    <w:name w:val="Light List Accent 6"/>
    <w:basedOn w:val="TableNormal"/>
    <w:uiPriority w:val="61"/>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pPr>
        <w:spacing w:before="0" w:after="0" w:line="240" w:lineRule="auto"/>
      </w:pPr>
      <w:rPr>
        <w:b/>
        <w:bCs/>
        <w:color w:val="FFFFFF" w:themeColor="background1"/>
      </w:rPr>
      <w:tblPr/>
      <w:tcPr>
        <w:shd w:val="clear" w:color="auto" w:fill="00AFAE" w:themeFill="accent6"/>
      </w:tcPr>
    </w:tblStylePr>
    <w:tblStylePr w:type="lastRow">
      <w:pPr>
        <w:spacing w:before="0" w:after="0" w:line="240" w:lineRule="auto"/>
      </w:pPr>
      <w:rPr>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tcBorders>
      </w:tcPr>
    </w:tblStylePr>
    <w:tblStylePr w:type="firstCol">
      <w:rPr>
        <w:b/>
        <w:bCs/>
      </w:rPr>
    </w:tblStylePr>
    <w:tblStylePr w:type="lastCol">
      <w:rPr>
        <w:b/>
        <w:bCs/>
      </w:r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style>
  <w:style w:type="table" w:styleId="LightShading">
    <w:name w:val="Light Shading"/>
    <w:basedOn w:val="TableNormal"/>
    <w:uiPriority w:val="60"/>
    <w:semiHidden/>
    <w:rsid w:val="007755B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755BA"/>
    <w:pPr>
      <w:spacing w:line="240" w:lineRule="auto"/>
    </w:pPr>
    <w:rPr>
      <w:color w:val="0086B2" w:themeColor="accent1" w:themeShade="BF"/>
    </w:rPr>
    <w:tblPr>
      <w:tblStyleRowBandSize w:val="1"/>
      <w:tblStyleColBandSize w:val="1"/>
      <w:tblBorders>
        <w:top w:val="single" w:sz="8" w:space="0" w:color="00B4EE" w:themeColor="accent1"/>
        <w:bottom w:val="single" w:sz="8" w:space="0" w:color="00B4EE" w:themeColor="accent1"/>
      </w:tblBorders>
    </w:tblPr>
    <w:tblStylePr w:type="fir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la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left w:val="nil"/>
          <w:right w:val="nil"/>
          <w:insideH w:val="nil"/>
          <w:insideV w:val="nil"/>
        </w:tcBorders>
        <w:shd w:val="clear" w:color="auto" w:fill="BBEEFF" w:themeFill="accent1" w:themeFillTint="3F"/>
      </w:tcPr>
    </w:tblStylePr>
  </w:style>
  <w:style w:type="table" w:styleId="LightShading-Accent2">
    <w:name w:val="Light Shading Accent 2"/>
    <w:basedOn w:val="TableNormal"/>
    <w:uiPriority w:val="60"/>
    <w:semiHidden/>
    <w:rsid w:val="007755BA"/>
    <w:pPr>
      <w:spacing w:line="240" w:lineRule="auto"/>
    </w:pPr>
    <w:rPr>
      <w:color w:val="005099" w:themeColor="accent2" w:themeShade="BF"/>
    </w:rPr>
    <w:tblPr>
      <w:tblStyleRowBandSize w:val="1"/>
      <w:tblStyleColBandSize w:val="1"/>
      <w:tblBorders>
        <w:top w:val="single" w:sz="8" w:space="0" w:color="006CCD" w:themeColor="accent2"/>
        <w:bottom w:val="single" w:sz="8" w:space="0" w:color="006CCD" w:themeColor="accent2"/>
      </w:tblBorders>
    </w:tblPr>
    <w:tblStylePr w:type="fir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la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left w:val="nil"/>
          <w:right w:val="nil"/>
          <w:insideH w:val="nil"/>
          <w:insideV w:val="nil"/>
        </w:tcBorders>
        <w:shd w:val="clear" w:color="auto" w:fill="B3DBFF" w:themeFill="accent2" w:themeFillTint="3F"/>
      </w:tcPr>
    </w:tblStylePr>
  </w:style>
  <w:style w:type="table" w:styleId="LightShading-Accent3">
    <w:name w:val="Light Shading Accent 3"/>
    <w:basedOn w:val="TableNormal"/>
    <w:uiPriority w:val="60"/>
    <w:semiHidden/>
    <w:rsid w:val="007755BA"/>
    <w:pPr>
      <w:spacing w:line="240" w:lineRule="auto"/>
    </w:pPr>
    <w:rPr>
      <w:color w:val="1EB0FF" w:themeColor="accent3" w:themeShade="BF"/>
    </w:rPr>
    <w:tblPr>
      <w:tblStyleRowBandSize w:val="1"/>
      <w:tblStyleColBandSize w:val="1"/>
      <w:tblBorders>
        <w:top w:val="single" w:sz="8" w:space="0" w:color="7ED2FF" w:themeColor="accent3"/>
        <w:bottom w:val="single" w:sz="8" w:space="0" w:color="7ED2FF" w:themeColor="accent3"/>
      </w:tblBorders>
    </w:tblPr>
    <w:tblStylePr w:type="fir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la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left w:val="nil"/>
          <w:right w:val="nil"/>
          <w:insideH w:val="nil"/>
          <w:insideV w:val="nil"/>
        </w:tcBorders>
        <w:shd w:val="clear" w:color="auto" w:fill="DFF3FF" w:themeFill="accent3" w:themeFillTint="3F"/>
      </w:tcPr>
    </w:tblStylePr>
  </w:style>
  <w:style w:type="table" w:styleId="LightShading-Accent4">
    <w:name w:val="Light Shading Accent 4"/>
    <w:basedOn w:val="TableNormal"/>
    <w:uiPriority w:val="60"/>
    <w:semiHidden/>
    <w:rsid w:val="007755BA"/>
    <w:pPr>
      <w:spacing w:line="240" w:lineRule="auto"/>
    </w:pPr>
    <w:rPr>
      <w:color w:val="006DAF" w:themeColor="accent4" w:themeShade="BF"/>
    </w:rPr>
    <w:tblPr>
      <w:tblStyleRowBandSize w:val="1"/>
      <w:tblStyleColBandSize w:val="1"/>
      <w:tblBorders>
        <w:top w:val="single" w:sz="8" w:space="0" w:color="0093EA" w:themeColor="accent4"/>
        <w:bottom w:val="single" w:sz="8" w:space="0" w:color="0093EA" w:themeColor="accent4"/>
      </w:tblBorders>
    </w:tblPr>
    <w:tblStylePr w:type="fir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la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left w:val="nil"/>
          <w:right w:val="nil"/>
          <w:insideH w:val="nil"/>
          <w:insideV w:val="nil"/>
        </w:tcBorders>
        <w:shd w:val="clear" w:color="auto" w:fill="BAE5FF" w:themeFill="accent4" w:themeFillTint="3F"/>
      </w:tcPr>
    </w:tblStylePr>
  </w:style>
  <w:style w:type="table" w:styleId="LightShading-Accent5">
    <w:name w:val="Light Shading Accent 5"/>
    <w:basedOn w:val="TableNormal"/>
    <w:uiPriority w:val="60"/>
    <w:semiHidden/>
    <w:rsid w:val="007755BA"/>
    <w:pPr>
      <w:spacing w:line="240" w:lineRule="auto"/>
    </w:pPr>
    <w:rPr>
      <w:color w:val="123171" w:themeColor="accent5" w:themeShade="BF"/>
    </w:rPr>
    <w:tblPr>
      <w:tblStyleRowBandSize w:val="1"/>
      <w:tblStyleColBandSize w:val="1"/>
      <w:tblBorders>
        <w:top w:val="single" w:sz="8" w:space="0" w:color="184398" w:themeColor="accent5"/>
        <w:bottom w:val="single" w:sz="8" w:space="0" w:color="184398" w:themeColor="accent5"/>
      </w:tblBorders>
    </w:tblPr>
    <w:tblStylePr w:type="fir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la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left w:val="nil"/>
          <w:right w:val="nil"/>
          <w:insideH w:val="nil"/>
          <w:insideV w:val="nil"/>
        </w:tcBorders>
        <w:shd w:val="clear" w:color="auto" w:fill="B7CBF3" w:themeFill="accent5" w:themeFillTint="3F"/>
      </w:tcPr>
    </w:tblStylePr>
  </w:style>
  <w:style w:type="table" w:styleId="LightShading-Accent6">
    <w:name w:val="Light Shading Accent 6"/>
    <w:basedOn w:val="TableNormal"/>
    <w:uiPriority w:val="60"/>
    <w:semiHidden/>
    <w:rsid w:val="007755BA"/>
    <w:pPr>
      <w:spacing w:line="240" w:lineRule="auto"/>
    </w:pPr>
    <w:rPr>
      <w:color w:val="008381" w:themeColor="accent6" w:themeShade="BF"/>
    </w:rPr>
    <w:tblPr>
      <w:tblStyleRowBandSize w:val="1"/>
      <w:tblStyleColBandSize w:val="1"/>
      <w:tblBorders>
        <w:top w:val="single" w:sz="8" w:space="0" w:color="00AFAE" w:themeColor="accent6"/>
        <w:bottom w:val="single" w:sz="8" w:space="0" w:color="00AFAE" w:themeColor="accent6"/>
      </w:tblBorders>
    </w:tblPr>
    <w:tblStylePr w:type="fir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la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left w:val="nil"/>
          <w:right w:val="nil"/>
          <w:insideH w:val="nil"/>
          <w:insideV w:val="nil"/>
        </w:tcBorders>
        <w:shd w:val="clear" w:color="auto" w:fill="ACFFFE" w:themeFill="accent6" w:themeFillTint="3F"/>
      </w:tcPr>
    </w:tblStylePr>
  </w:style>
  <w:style w:type="table" w:styleId="ListTable1Light">
    <w:name w:val="List Table 1 Light"/>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BD6FF" w:themeColor="accent1" w:themeTint="99"/>
        </w:tcBorders>
      </w:tcPr>
    </w:tblStylePr>
    <w:tblStylePr w:type="lastRow">
      <w:rPr>
        <w:b/>
        <w:bCs/>
      </w:rPr>
      <w:tblPr/>
      <w:tcPr>
        <w:tcBorders>
          <w:top w:val="sing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1Light-Accent2">
    <w:name w:val="List Table 1 Light Accent 2"/>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48A8FF" w:themeColor="accent2" w:themeTint="99"/>
        </w:tcBorders>
      </w:tcPr>
    </w:tblStylePr>
    <w:tblStylePr w:type="lastRow">
      <w:rPr>
        <w:b/>
        <w:bCs/>
      </w:rPr>
      <w:tblPr/>
      <w:tcPr>
        <w:tcBorders>
          <w:top w:val="sing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1Light-Accent3">
    <w:name w:val="List Table 1 Light Accent 3"/>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B1E3FF" w:themeColor="accent3" w:themeTint="99"/>
        </w:tcBorders>
      </w:tcPr>
    </w:tblStylePr>
    <w:tblStylePr w:type="lastRow">
      <w:rPr>
        <w:b/>
        <w:bCs/>
      </w:rPr>
      <w:tblPr/>
      <w:tcPr>
        <w:tcBorders>
          <w:top w:val="sing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1Light-Accent4">
    <w:name w:val="List Table 1 Light Accent 4"/>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9C1FF" w:themeColor="accent4" w:themeTint="99"/>
        </w:tcBorders>
      </w:tcPr>
    </w:tblStylePr>
    <w:tblStylePr w:type="lastRow">
      <w:rPr>
        <w:b/>
        <w:bCs/>
      </w:rPr>
      <w:tblPr/>
      <w:tcPr>
        <w:tcBorders>
          <w:top w:val="sing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1Light-Accent5">
    <w:name w:val="List Table 1 Light Accent 5"/>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182E3" w:themeColor="accent5" w:themeTint="99"/>
        </w:tcBorders>
      </w:tcPr>
    </w:tblStylePr>
    <w:tblStylePr w:type="lastRow">
      <w:rPr>
        <w:b/>
        <w:bCs/>
      </w:rPr>
      <w:tblPr/>
      <w:tcPr>
        <w:tcBorders>
          <w:top w:val="sing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1Light-Accent6">
    <w:name w:val="List Table 1 Light Accent 6"/>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36FFFD" w:themeColor="accent6" w:themeTint="99"/>
        </w:tcBorders>
      </w:tcPr>
    </w:tblStylePr>
    <w:tblStylePr w:type="lastRow">
      <w:rPr>
        <w:b/>
        <w:bCs/>
      </w:rPr>
      <w:tblPr/>
      <w:tcPr>
        <w:tcBorders>
          <w:top w:val="sing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2">
    <w:name w:val="List Table 2"/>
    <w:basedOn w:val="TableNormal"/>
    <w:uiPriority w:val="47"/>
    <w:semiHidden/>
    <w:rsid w:val="007755B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55BA"/>
    <w:pPr>
      <w:spacing w:line="240" w:lineRule="auto"/>
    </w:pPr>
    <w:tblPr>
      <w:tblStyleRowBandSize w:val="1"/>
      <w:tblStyleColBandSize w:val="1"/>
      <w:tblBorders>
        <w:top w:val="single" w:sz="4" w:space="0" w:color="5BD6FF" w:themeColor="accent1" w:themeTint="99"/>
        <w:bottom w:val="single" w:sz="4" w:space="0" w:color="5BD6FF" w:themeColor="accent1" w:themeTint="99"/>
        <w:insideH w:val="single" w:sz="4" w:space="0" w:color="5BD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2-Accent2">
    <w:name w:val="List Table 2 Accent 2"/>
    <w:basedOn w:val="TableNormal"/>
    <w:uiPriority w:val="47"/>
    <w:semiHidden/>
    <w:rsid w:val="007755BA"/>
    <w:pPr>
      <w:spacing w:line="240" w:lineRule="auto"/>
    </w:pPr>
    <w:tblPr>
      <w:tblStyleRowBandSize w:val="1"/>
      <w:tblStyleColBandSize w:val="1"/>
      <w:tblBorders>
        <w:top w:val="single" w:sz="4" w:space="0" w:color="48A8FF" w:themeColor="accent2" w:themeTint="99"/>
        <w:bottom w:val="single" w:sz="4" w:space="0" w:color="48A8FF" w:themeColor="accent2" w:themeTint="99"/>
        <w:insideH w:val="single" w:sz="4" w:space="0" w:color="48A8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2-Accent3">
    <w:name w:val="List Table 2 Accent 3"/>
    <w:basedOn w:val="TableNormal"/>
    <w:uiPriority w:val="47"/>
    <w:semiHidden/>
    <w:rsid w:val="007755BA"/>
    <w:pPr>
      <w:spacing w:line="240" w:lineRule="auto"/>
    </w:pPr>
    <w:tblPr>
      <w:tblStyleRowBandSize w:val="1"/>
      <w:tblStyleColBandSize w:val="1"/>
      <w:tblBorders>
        <w:top w:val="single" w:sz="4" w:space="0" w:color="B1E3FF" w:themeColor="accent3" w:themeTint="99"/>
        <w:bottom w:val="single" w:sz="4" w:space="0" w:color="B1E3FF" w:themeColor="accent3" w:themeTint="99"/>
        <w:insideH w:val="single" w:sz="4" w:space="0" w:color="B1E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2-Accent4">
    <w:name w:val="List Table 2 Accent 4"/>
    <w:basedOn w:val="TableNormal"/>
    <w:uiPriority w:val="47"/>
    <w:semiHidden/>
    <w:rsid w:val="007755BA"/>
    <w:pPr>
      <w:spacing w:line="240" w:lineRule="auto"/>
    </w:pPr>
    <w:tblPr>
      <w:tblStyleRowBandSize w:val="1"/>
      <w:tblStyleColBandSize w:val="1"/>
      <w:tblBorders>
        <w:top w:val="single" w:sz="4" w:space="0" w:color="59C1FF" w:themeColor="accent4" w:themeTint="99"/>
        <w:bottom w:val="single" w:sz="4" w:space="0" w:color="59C1FF" w:themeColor="accent4" w:themeTint="99"/>
        <w:insideH w:val="single" w:sz="4" w:space="0" w:color="59C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2-Accent5">
    <w:name w:val="List Table 2 Accent 5"/>
    <w:basedOn w:val="TableNormal"/>
    <w:uiPriority w:val="47"/>
    <w:semiHidden/>
    <w:rsid w:val="007755BA"/>
    <w:pPr>
      <w:spacing w:line="240" w:lineRule="auto"/>
    </w:pPr>
    <w:tblPr>
      <w:tblStyleRowBandSize w:val="1"/>
      <w:tblStyleColBandSize w:val="1"/>
      <w:tblBorders>
        <w:top w:val="single" w:sz="4" w:space="0" w:color="5182E3" w:themeColor="accent5" w:themeTint="99"/>
        <w:bottom w:val="single" w:sz="4" w:space="0" w:color="5182E3" w:themeColor="accent5" w:themeTint="99"/>
        <w:insideH w:val="single" w:sz="4" w:space="0" w:color="5182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2-Accent6">
    <w:name w:val="List Table 2 Accent 6"/>
    <w:basedOn w:val="TableNormal"/>
    <w:uiPriority w:val="47"/>
    <w:semiHidden/>
    <w:rsid w:val="007755BA"/>
    <w:pPr>
      <w:spacing w:line="240" w:lineRule="auto"/>
    </w:pPr>
    <w:tblPr>
      <w:tblStyleRowBandSize w:val="1"/>
      <w:tblStyleColBandSize w:val="1"/>
      <w:tblBorders>
        <w:top w:val="single" w:sz="4" w:space="0" w:color="36FFFD" w:themeColor="accent6" w:themeTint="99"/>
        <w:bottom w:val="single" w:sz="4" w:space="0" w:color="36FFFD" w:themeColor="accent6" w:themeTint="99"/>
        <w:insideH w:val="single" w:sz="4" w:space="0" w:color="36FFF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3">
    <w:name w:val="List Table 3"/>
    <w:basedOn w:val="TableNormal"/>
    <w:uiPriority w:val="48"/>
    <w:semiHidden/>
    <w:rsid w:val="007755B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55BA"/>
    <w:pPr>
      <w:spacing w:line="240" w:lineRule="auto"/>
    </w:pPr>
    <w:tblPr>
      <w:tblStyleRowBandSize w:val="1"/>
      <w:tblStyleColBandSize w:val="1"/>
      <w:tblBorders>
        <w:top w:val="single" w:sz="4" w:space="0" w:color="00B4EE" w:themeColor="accent1"/>
        <w:left w:val="single" w:sz="4" w:space="0" w:color="00B4EE" w:themeColor="accent1"/>
        <w:bottom w:val="single" w:sz="4" w:space="0" w:color="00B4EE" w:themeColor="accent1"/>
        <w:right w:val="single" w:sz="4" w:space="0" w:color="00B4EE" w:themeColor="accent1"/>
      </w:tblBorders>
    </w:tblPr>
    <w:tblStylePr w:type="firstRow">
      <w:rPr>
        <w:b/>
        <w:bCs/>
        <w:color w:val="FFFFFF" w:themeColor="background1"/>
      </w:rPr>
      <w:tblPr/>
      <w:tcPr>
        <w:shd w:val="clear" w:color="auto" w:fill="00B4EE" w:themeFill="accent1"/>
      </w:tcPr>
    </w:tblStylePr>
    <w:tblStylePr w:type="lastRow">
      <w:rPr>
        <w:b/>
        <w:bCs/>
      </w:rPr>
      <w:tblPr/>
      <w:tcPr>
        <w:tcBorders>
          <w:top w:val="double" w:sz="4" w:space="0" w:color="00B4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E" w:themeColor="accent1"/>
          <w:right w:val="single" w:sz="4" w:space="0" w:color="00B4EE" w:themeColor="accent1"/>
        </w:tcBorders>
      </w:tcPr>
    </w:tblStylePr>
    <w:tblStylePr w:type="band1Horz">
      <w:tblPr/>
      <w:tcPr>
        <w:tcBorders>
          <w:top w:val="single" w:sz="4" w:space="0" w:color="00B4EE" w:themeColor="accent1"/>
          <w:bottom w:val="single" w:sz="4" w:space="0" w:color="00B4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E" w:themeColor="accent1"/>
          <w:left w:val="nil"/>
        </w:tcBorders>
      </w:tcPr>
    </w:tblStylePr>
    <w:tblStylePr w:type="swCell">
      <w:tblPr/>
      <w:tcPr>
        <w:tcBorders>
          <w:top w:val="double" w:sz="4" w:space="0" w:color="00B4EE" w:themeColor="accent1"/>
          <w:right w:val="nil"/>
        </w:tcBorders>
      </w:tcPr>
    </w:tblStylePr>
  </w:style>
  <w:style w:type="table" w:styleId="ListTable3-Accent2">
    <w:name w:val="List Table 3 Accent 2"/>
    <w:basedOn w:val="TableNormal"/>
    <w:uiPriority w:val="48"/>
    <w:semiHidden/>
    <w:rsid w:val="007755BA"/>
    <w:pPr>
      <w:spacing w:line="240" w:lineRule="auto"/>
    </w:pPr>
    <w:tblPr>
      <w:tblStyleRowBandSize w:val="1"/>
      <w:tblStyleColBandSize w:val="1"/>
      <w:tblBorders>
        <w:top w:val="single" w:sz="4" w:space="0" w:color="006CCD" w:themeColor="accent2"/>
        <w:left w:val="single" w:sz="4" w:space="0" w:color="006CCD" w:themeColor="accent2"/>
        <w:bottom w:val="single" w:sz="4" w:space="0" w:color="006CCD" w:themeColor="accent2"/>
        <w:right w:val="single" w:sz="4" w:space="0" w:color="006CCD" w:themeColor="accent2"/>
      </w:tblBorders>
    </w:tblPr>
    <w:tblStylePr w:type="firstRow">
      <w:rPr>
        <w:b/>
        <w:bCs/>
        <w:color w:val="FFFFFF" w:themeColor="background1"/>
      </w:rPr>
      <w:tblPr/>
      <w:tcPr>
        <w:shd w:val="clear" w:color="auto" w:fill="006CCD" w:themeFill="accent2"/>
      </w:tcPr>
    </w:tblStylePr>
    <w:tblStylePr w:type="lastRow">
      <w:rPr>
        <w:b/>
        <w:bCs/>
      </w:rPr>
      <w:tblPr/>
      <w:tcPr>
        <w:tcBorders>
          <w:top w:val="double" w:sz="4" w:space="0" w:color="006C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CD" w:themeColor="accent2"/>
          <w:right w:val="single" w:sz="4" w:space="0" w:color="006CCD" w:themeColor="accent2"/>
        </w:tcBorders>
      </w:tcPr>
    </w:tblStylePr>
    <w:tblStylePr w:type="band1Horz">
      <w:tblPr/>
      <w:tcPr>
        <w:tcBorders>
          <w:top w:val="single" w:sz="4" w:space="0" w:color="006CCD" w:themeColor="accent2"/>
          <w:bottom w:val="single" w:sz="4" w:space="0" w:color="006C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CD" w:themeColor="accent2"/>
          <w:left w:val="nil"/>
        </w:tcBorders>
      </w:tcPr>
    </w:tblStylePr>
    <w:tblStylePr w:type="swCell">
      <w:tblPr/>
      <w:tcPr>
        <w:tcBorders>
          <w:top w:val="double" w:sz="4" w:space="0" w:color="006CCD" w:themeColor="accent2"/>
          <w:right w:val="nil"/>
        </w:tcBorders>
      </w:tcPr>
    </w:tblStylePr>
  </w:style>
  <w:style w:type="table" w:styleId="ListTable3-Accent3">
    <w:name w:val="List Table 3 Accent 3"/>
    <w:basedOn w:val="TableNormal"/>
    <w:uiPriority w:val="48"/>
    <w:semiHidden/>
    <w:rsid w:val="007755BA"/>
    <w:pPr>
      <w:spacing w:line="240" w:lineRule="auto"/>
    </w:pPr>
    <w:tblPr>
      <w:tblStyleRowBandSize w:val="1"/>
      <w:tblStyleColBandSize w:val="1"/>
      <w:tblBorders>
        <w:top w:val="single" w:sz="4" w:space="0" w:color="7ED2FF" w:themeColor="accent3"/>
        <w:left w:val="single" w:sz="4" w:space="0" w:color="7ED2FF" w:themeColor="accent3"/>
        <w:bottom w:val="single" w:sz="4" w:space="0" w:color="7ED2FF" w:themeColor="accent3"/>
        <w:right w:val="single" w:sz="4" w:space="0" w:color="7ED2FF" w:themeColor="accent3"/>
      </w:tblBorders>
    </w:tblPr>
    <w:tblStylePr w:type="firstRow">
      <w:rPr>
        <w:b/>
        <w:bCs/>
        <w:color w:val="FFFFFF" w:themeColor="background1"/>
      </w:rPr>
      <w:tblPr/>
      <w:tcPr>
        <w:shd w:val="clear" w:color="auto" w:fill="7ED2FF" w:themeFill="accent3"/>
      </w:tcPr>
    </w:tblStylePr>
    <w:tblStylePr w:type="lastRow">
      <w:rPr>
        <w:b/>
        <w:bCs/>
      </w:rPr>
      <w:tblPr/>
      <w:tcPr>
        <w:tcBorders>
          <w:top w:val="double" w:sz="4" w:space="0" w:color="7ED2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D2FF" w:themeColor="accent3"/>
          <w:right w:val="single" w:sz="4" w:space="0" w:color="7ED2FF" w:themeColor="accent3"/>
        </w:tcBorders>
      </w:tcPr>
    </w:tblStylePr>
    <w:tblStylePr w:type="band1Horz">
      <w:tblPr/>
      <w:tcPr>
        <w:tcBorders>
          <w:top w:val="single" w:sz="4" w:space="0" w:color="7ED2FF" w:themeColor="accent3"/>
          <w:bottom w:val="single" w:sz="4" w:space="0" w:color="7ED2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D2FF" w:themeColor="accent3"/>
          <w:left w:val="nil"/>
        </w:tcBorders>
      </w:tcPr>
    </w:tblStylePr>
    <w:tblStylePr w:type="swCell">
      <w:tblPr/>
      <w:tcPr>
        <w:tcBorders>
          <w:top w:val="double" w:sz="4" w:space="0" w:color="7ED2FF" w:themeColor="accent3"/>
          <w:right w:val="nil"/>
        </w:tcBorders>
      </w:tcPr>
    </w:tblStylePr>
  </w:style>
  <w:style w:type="table" w:styleId="ListTable3-Accent4">
    <w:name w:val="List Table 3 Accent 4"/>
    <w:basedOn w:val="TableNormal"/>
    <w:uiPriority w:val="48"/>
    <w:semiHidden/>
    <w:rsid w:val="007755BA"/>
    <w:pPr>
      <w:spacing w:line="240" w:lineRule="auto"/>
    </w:pPr>
    <w:tblPr>
      <w:tblStyleRowBandSize w:val="1"/>
      <w:tblStyleColBandSize w:val="1"/>
      <w:tblBorders>
        <w:top w:val="single" w:sz="4" w:space="0" w:color="0093EA" w:themeColor="accent4"/>
        <w:left w:val="single" w:sz="4" w:space="0" w:color="0093EA" w:themeColor="accent4"/>
        <w:bottom w:val="single" w:sz="4" w:space="0" w:color="0093EA" w:themeColor="accent4"/>
        <w:right w:val="single" w:sz="4" w:space="0" w:color="0093EA" w:themeColor="accent4"/>
      </w:tblBorders>
    </w:tblPr>
    <w:tblStylePr w:type="firstRow">
      <w:rPr>
        <w:b/>
        <w:bCs/>
        <w:color w:val="FFFFFF" w:themeColor="background1"/>
      </w:rPr>
      <w:tblPr/>
      <w:tcPr>
        <w:shd w:val="clear" w:color="auto" w:fill="0093EA" w:themeFill="accent4"/>
      </w:tcPr>
    </w:tblStylePr>
    <w:tblStylePr w:type="lastRow">
      <w:rPr>
        <w:b/>
        <w:bCs/>
      </w:rPr>
      <w:tblPr/>
      <w:tcPr>
        <w:tcBorders>
          <w:top w:val="double" w:sz="4" w:space="0" w:color="0093E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EA" w:themeColor="accent4"/>
          <w:right w:val="single" w:sz="4" w:space="0" w:color="0093EA" w:themeColor="accent4"/>
        </w:tcBorders>
      </w:tcPr>
    </w:tblStylePr>
    <w:tblStylePr w:type="band1Horz">
      <w:tblPr/>
      <w:tcPr>
        <w:tcBorders>
          <w:top w:val="single" w:sz="4" w:space="0" w:color="0093EA" w:themeColor="accent4"/>
          <w:bottom w:val="single" w:sz="4" w:space="0" w:color="0093E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EA" w:themeColor="accent4"/>
          <w:left w:val="nil"/>
        </w:tcBorders>
      </w:tcPr>
    </w:tblStylePr>
    <w:tblStylePr w:type="swCell">
      <w:tblPr/>
      <w:tcPr>
        <w:tcBorders>
          <w:top w:val="double" w:sz="4" w:space="0" w:color="0093EA" w:themeColor="accent4"/>
          <w:right w:val="nil"/>
        </w:tcBorders>
      </w:tcPr>
    </w:tblStylePr>
  </w:style>
  <w:style w:type="table" w:styleId="ListTable3-Accent5">
    <w:name w:val="List Table 3 Accent 5"/>
    <w:basedOn w:val="TableNormal"/>
    <w:uiPriority w:val="48"/>
    <w:semiHidden/>
    <w:rsid w:val="007755BA"/>
    <w:pPr>
      <w:spacing w:line="240" w:lineRule="auto"/>
    </w:pPr>
    <w:tblPr>
      <w:tblStyleRowBandSize w:val="1"/>
      <w:tblStyleColBandSize w:val="1"/>
      <w:tblBorders>
        <w:top w:val="single" w:sz="4" w:space="0" w:color="184398" w:themeColor="accent5"/>
        <w:left w:val="single" w:sz="4" w:space="0" w:color="184398" w:themeColor="accent5"/>
        <w:bottom w:val="single" w:sz="4" w:space="0" w:color="184398" w:themeColor="accent5"/>
        <w:right w:val="single" w:sz="4" w:space="0" w:color="184398" w:themeColor="accent5"/>
      </w:tblBorders>
    </w:tblPr>
    <w:tblStylePr w:type="firstRow">
      <w:rPr>
        <w:b/>
        <w:bCs/>
        <w:color w:val="FFFFFF" w:themeColor="background1"/>
      </w:rPr>
      <w:tblPr/>
      <w:tcPr>
        <w:shd w:val="clear" w:color="auto" w:fill="184398" w:themeFill="accent5"/>
      </w:tcPr>
    </w:tblStylePr>
    <w:tblStylePr w:type="lastRow">
      <w:rPr>
        <w:b/>
        <w:bCs/>
      </w:rPr>
      <w:tblPr/>
      <w:tcPr>
        <w:tcBorders>
          <w:top w:val="double" w:sz="4" w:space="0" w:color="18439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398" w:themeColor="accent5"/>
          <w:right w:val="single" w:sz="4" w:space="0" w:color="184398" w:themeColor="accent5"/>
        </w:tcBorders>
      </w:tcPr>
    </w:tblStylePr>
    <w:tblStylePr w:type="band1Horz">
      <w:tblPr/>
      <w:tcPr>
        <w:tcBorders>
          <w:top w:val="single" w:sz="4" w:space="0" w:color="184398" w:themeColor="accent5"/>
          <w:bottom w:val="single" w:sz="4" w:space="0" w:color="18439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398" w:themeColor="accent5"/>
          <w:left w:val="nil"/>
        </w:tcBorders>
      </w:tcPr>
    </w:tblStylePr>
    <w:tblStylePr w:type="swCell">
      <w:tblPr/>
      <w:tcPr>
        <w:tcBorders>
          <w:top w:val="double" w:sz="4" w:space="0" w:color="184398" w:themeColor="accent5"/>
          <w:right w:val="nil"/>
        </w:tcBorders>
      </w:tcPr>
    </w:tblStylePr>
  </w:style>
  <w:style w:type="table" w:styleId="ListTable3-Accent6">
    <w:name w:val="List Table 3 Accent 6"/>
    <w:basedOn w:val="TableNormal"/>
    <w:uiPriority w:val="48"/>
    <w:semiHidden/>
    <w:rsid w:val="007755BA"/>
    <w:pPr>
      <w:spacing w:line="240" w:lineRule="auto"/>
    </w:pPr>
    <w:tblPr>
      <w:tblStyleRowBandSize w:val="1"/>
      <w:tblStyleColBandSize w:val="1"/>
      <w:tblBorders>
        <w:top w:val="single" w:sz="4" w:space="0" w:color="00AFAE" w:themeColor="accent6"/>
        <w:left w:val="single" w:sz="4" w:space="0" w:color="00AFAE" w:themeColor="accent6"/>
        <w:bottom w:val="single" w:sz="4" w:space="0" w:color="00AFAE" w:themeColor="accent6"/>
        <w:right w:val="single" w:sz="4" w:space="0" w:color="00AFAE" w:themeColor="accent6"/>
      </w:tblBorders>
    </w:tblPr>
    <w:tblStylePr w:type="firstRow">
      <w:rPr>
        <w:b/>
        <w:bCs/>
        <w:color w:val="FFFFFF" w:themeColor="background1"/>
      </w:rPr>
      <w:tblPr/>
      <w:tcPr>
        <w:shd w:val="clear" w:color="auto" w:fill="00AFAE" w:themeFill="accent6"/>
      </w:tcPr>
    </w:tblStylePr>
    <w:tblStylePr w:type="lastRow">
      <w:rPr>
        <w:b/>
        <w:bCs/>
      </w:rPr>
      <w:tblPr/>
      <w:tcPr>
        <w:tcBorders>
          <w:top w:val="double" w:sz="4" w:space="0" w:color="00AF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E" w:themeColor="accent6"/>
          <w:right w:val="single" w:sz="4" w:space="0" w:color="00AFAE" w:themeColor="accent6"/>
        </w:tcBorders>
      </w:tcPr>
    </w:tblStylePr>
    <w:tblStylePr w:type="band1Horz">
      <w:tblPr/>
      <w:tcPr>
        <w:tcBorders>
          <w:top w:val="single" w:sz="4" w:space="0" w:color="00AFAE" w:themeColor="accent6"/>
          <w:bottom w:val="single" w:sz="4" w:space="0" w:color="00AF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E" w:themeColor="accent6"/>
          <w:left w:val="nil"/>
        </w:tcBorders>
      </w:tcPr>
    </w:tblStylePr>
    <w:tblStylePr w:type="swCell">
      <w:tblPr/>
      <w:tcPr>
        <w:tcBorders>
          <w:top w:val="double" w:sz="4" w:space="0" w:color="00AFAE" w:themeColor="accent6"/>
          <w:right w:val="nil"/>
        </w:tcBorders>
      </w:tcPr>
    </w:tblStylePr>
  </w:style>
  <w:style w:type="table" w:styleId="ListTable4">
    <w:name w:val="List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tcBorders>
        <w:shd w:val="clear" w:color="auto" w:fill="00B4EE" w:themeFill="accent1"/>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4-Accent2">
    <w:name w:val="List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tcBorders>
        <w:shd w:val="clear" w:color="auto" w:fill="006CCD" w:themeFill="accent2"/>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4-Accent3">
    <w:name w:val="List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tcBorders>
        <w:shd w:val="clear" w:color="auto" w:fill="7ED2FF" w:themeFill="accent3"/>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4-Accent4">
    <w:name w:val="List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tcBorders>
        <w:shd w:val="clear" w:color="auto" w:fill="0093EA" w:themeFill="accent4"/>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4-Accent5">
    <w:name w:val="List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tcBorders>
        <w:shd w:val="clear" w:color="auto" w:fill="184398" w:themeFill="accent5"/>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4-Accent6">
    <w:name w:val="List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tcBorders>
        <w:shd w:val="clear" w:color="auto" w:fill="00AFAE" w:themeFill="accent6"/>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5Dark">
    <w:name w:val="List Table 5 Dark"/>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B4EE" w:themeColor="accent1"/>
        <w:left w:val="single" w:sz="24" w:space="0" w:color="00B4EE" w:themeColor="accent1"/>
        <w:bottom w:val="single" w:sz="24" w:space="0" w:color="00B4EE" w:themeColor="accent1"/>
        <w:right w:val="single" w:sz="24" w:space="0" w:color="00B4EE" w:themeColor="accent1"/>
      </w:tblBorders>
    </w:tblPr>
    <w:tcPr>
      <w:shd w:val="clear" w:color="auto" w:fill="00B4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6CCD" w:themeColor="accent2"/>
        <w:left w:val="single" w:sz="24" w:space="0" w:color="006CCD" w:themeColor="accent2"/>
        <w:bottom w:val="single" w:sz="24" w:space="0" w:color="006CCD" w:themeColor="accent2"/>
        <w:right w:val="single" w:sz="24" w:space="0" w:color="006CCD" w:themeColor="accent2"/>
      </w:tblBorders>
    </w:tblPr>
    <w:tcPr>
      <w:shd w:val="clear" w:color="auto" w:fill="006CC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55BA"/>
    <w:pPr>
      <w:spacing w:line="240" w:lineRule="auto"/>
    </w:pPr>
    <w:rPr>
      <w:color w:val="FFFFFF" w:themeColor="background1"/>
    </w:rPr>
    <w:tblPr>
      <w:tblStyleRowBandSize w:val="1"/>
      <w:tblStyleColBandSize w:val="1"/>
      <w:tblBorders>
        <w:top w:val="single" w:sz="24" w:space="0" w:color="7ED2FF" w:themeColor="accent3"/>
        <w:left w:val="single" w:sz="24" w:space="0" w:color="7ED2FF" w:themeColor="accent3"/>
        <w:bottom w:val="single" w:sz="24" w:space="0" w:color="7ED2FF" w:themeColor="accent3"/>
        <w:right w:val="single" w:sz="24" w:space="0" w:color="7ED2FF" w:themeColor="accent3"/>
      </w:tblBorders>
    </w:tblPr>
    <w:tcPr>
      <w:shd w:val="clear" w:color="auto" w:fill="7ED2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93EA" w:themeColor="accent4"/>
        <w:left w:val="single" w:sz="24" w:space="0" w:color="0093EA" w:themeColor="accent4"/>
        <w:bottom w:val="single" w:sz="24" w:space="0" w:color="0093EA" w:themeColor="accent4"/>
        <w:right w:val="single" w:sz="24" w:space="0" w:color="0093EA" w:themeColor="accent4"/>
      </w:tblBorders>
    </w:tblPr>
    <w:tcPr>
      <w:shd w:val="clear" w:color="auto" w:fill="0093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55BA"/>
    <w:pPr>
      <w:spacing w:line="240" w:lineRule="auto"/>
    </w:pPr>
    <w:rPr>
      <w:color w:val="FFFFFF" w:themeColor="background1"/>
    </w:rPr>
    <w:tblPr>
      <w:tblStyleRowBandSize w:val="1"/>
      <w:tblStyleColBandSize w:val="1"/>
      <w:tblBorders>
        <w:top w:val="single" w:sz="24" w:space="0" w:color="184398" w:themeColor="accent5"/>
        <w:left w:val="single" w:sz="24" w:space="0" w:color="184398" w:themeColor="accent5"/>
        <w:bottom w:val="single" w:sz="24" w:space="0" w:color="184398" w:themeColor="accent5"/>
        <w:right w:val="single" w:sz="24" w:space="0" w:color="184398" w:themeColor="accent5"/>
      </w:tblBorders>
    </w:tblPr>
    <w:tcPr>
      <w:shd w:val="clear" w:color="auto" w:fill="18439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AFAE" w:themeColor="accent6"/>
        <w:left w:val="single" w:sz="24" w:space="0" w:color="00AFAE" w:themeColor="accent6"/>
        <w:bottom w:val="single" w:sz="24" w:space="0" w:color="00AFAE" w:themeColor="accent6"/>
        <w:right w:val="single" w:sz="24" w:space="0" w:color="00AFAE" w:themeColor="accent6"/>
      </w:tblBorders>
    </w:tblPr>
    <w:tcPr>
      <w:shd w:val="clear" w:color="auto" w:fill="00AF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55B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00B4EE" w:themeColor="accent1"/>
        <w:bottom w:val="single" w:sz="4" w:space="0" w:color="00B4EE" w:themeColor="accent1"/>
      </w:tblBorders>
    </w:tblPr>
    <w:tblStylePr w:type="firstRow">
      <w:rPr>
        <w:b/>
        <w:bCs/>
      </w:rPr>
      <w:tblPr/>
      <w:tcPr>
        <w:tcBorders>
          <w:bottom w:val="single" w:sz="4" w:space="0" w:color="00B4EE" w:themeColor="accent1"/>
        </w:tcBorders>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6Colorful-Accent2">
    <w:name w:val="List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006CCD" w:themeColor="accent2"/>
        <w:bottom w:val="single" w:sz="4" w:space="0" w:color="006CCD" w:themeColor="accent2"/>
      </w:tblBorders>
    </w:tblPr>
    <w:tblStylePr w:type="firstRow">
      <w:rPr>
        <w:b/>
        <w:bCs/>
      </w:rPr>
      <w:tblPr/>
      <w:tcPr>
        <w:tcBorders>
          <w:bottom w:val="single" w:sz="4" w:space="0" w:color="006CCD" w:themeColor="accent2"/>
        </w:tcBorders>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6Colorful-Accent3">
    <w:name w:val="List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7ED2FF" w:themeColor="accent3"/>
        <w:bottom w:val="single" w:sz="4" w:space="0" w:color="7ED2FF" w:themeColor="accent3"/>
      </w:tblBorders>
    </w:tblPr>
    <w:tblStylePr w:type="firstRow">
      <w:rPr>
        <w:b/>
        <w:bCs/>
      </w:rPr>
      <w:tblPr/>
      <w:tcPr>
        <w:tcBorders>
          <w:bottom w:val="single" w:sz="4" w:space="0" w:color="7ED2FF" w:themeColor="accent3"/>
        </w:tcBorders>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6Colorful-Accent4">
    <w:name w:val="List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0093EA" w:themeColor="accent4"/>
        <w:bottom w:val="single" w:sz="4" w:space="0" w:color="0093EA" w:themeColor="accent4"/>
      </w:tblBorders>
    </w:tblPr>
    <w:tblStylePr w:type="firstRow">
      <w:rPr>
        <w:b/>
        <w:bCs/>
      </w:rPr>
      <w:tblPr/>
      <w:tcPr>
        <w:tcBorders>
          <w:bottom w:val="single" w:sz="4" w:space="0" w:color="0093EA" w:themeColor="accent4"/>
        </w:tcBorders>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6Colorful-Accent5">
    <w:name w:val="List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6Colorful-Accent6">
    <w:name w:val="List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00AFAE" w:themeColor="accent6"/>
        <w:bottom w:val="single" w:sz="4" w:space="0" w:color="00AFAE" w:themeColor="accent6"/>
      </w:tblBorders>
    </w:tblPr>
    <w:tblStylePr w:type="firstRow">
      <w:rPr>
        <w:b/>
        <w:bCs/>
      </w:rPr>
      <w:tblPr/>
      <w:tcPr>
        <w:tcBorders>
          <w:bottom w:val="single" w:sz="4" w:space="0" w:color="00AFAE" w:themeColor="accent6"/>
        </w:tcBorders>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7Colorful">
    <w:name w:val="List Table 7 Colorful"/>
    <w:basedOn w:val="TableNormal"/>
    <w:uiPriority w:val="52"/>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55BA"/>
    <w:pPr>
      <w:spacing w:line="240" w:lineRule="auto"/>
    </w:pPr>
    <w:rPr>
      <w:color w:val="0086B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4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EE" w:themeColor="accent1"/>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55BA"/>
    <w:pPr>
      <w:spacing w:line="240" w:lineRule="auto"/>
    </w:pPr>
    <w:rPr>
      <w:color w:val="00509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CC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CC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CC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CCD" w:themeColor="accent2"/>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55BA"/>
    <w:pPr>
      <w:spacing w:line="240" w:lineRule="auto"/>
    </w:pPr>
    <w:rPr>
      <w:color w:val="1EB0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D2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D2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D2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D2FF" w:themeColor="accent3"/>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55BA"/>
    <w:pPr>
      <w:spacing w:line="240" w:lineRule="auto"/>
    </w:pPr>
    <w:rPr>
      <w:color w:val="006DA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3E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3E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3E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3EA" w:themeColor="accent4"/>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55BA"/>
    <w:pPr>
      <w:spacing w:line="240" w:lineRule="auto"/>
    </w:pPr>
    <w:rPr>
      <w:color w:val="12317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39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39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39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398" w:themeColor="accent5"/>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55BA"/>
    <w:pPr>
      <w:spacing w:line="240" w:lineRule="auto"/>
    </w:pPr>
    <w:rPr>
      <w:color w:val="0083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AE" w:themeColor="accent6"/>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insideV w:val="single" w:sz="8" w:space="0" w:color="33CCFF" w:themeColor="accent1" w:themeTint="BF"/>
      </w:tblBorders>
    </w:tblPr>
    <w:tcPr>
      <w:shd w:val="clear" w:color="auto" w:fill="BBEEFF" w:themeFill="accent1" w:themeFillTint="3F"/>
    </w:tcPr>
    <w:tblStylePr w:type="firstRow">
      <w:rPr>
        <w:b/>
        <w:bCs/>
      </w:rPr>
    </w:tblStylePr>
    <w:tblStylePr w:type="lastRow">
      <w:rPr>
        <w:b/>
        <w:bCs/>
      </w:rPr>
      <w:tblPr/>
      <w:tcPr>
        <w:tcBorders>
          <w:top w:val="single" w:sz="18" w:space="0" w:color="33CCFF" w:themeColor="accent1" w:themeTint="BF"/>
        </w:tcBorders>
      </w:tcPr>
    </w:tblStylePr>
    <w:tblStylePr w:type="firstCol">
      <w:rPr>
        <w:b/>
        <w:bCs/>
      </w:rPr>
    </w:tblStylePr>
    <w:tblStylePr w:type="lastCol">
      <w:rPr>
        <w:b/>
        <w:bCs/>
      </w:r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MediumGrid1-Accent2">
    <w:name w:val="Medium Grid 1 Accent 2"/>
    <w:basedOn w:val="TableNormal"/>
    <w:uiPriority w:val="67"/>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insideV w:val="single" w:sz="8" w:space="0" w:color="1A92FF" w:themeColor="accent2" w:themeTint="BF"/>
      </w:tblBorders>
    </w:tblPr>
    <w:tcPr>
      <w:shd w:val="clear" w:color="auto" w:fill="B3DBFF" w:themeFill="accent2" w:themeFillTint="3F"/>
    </w:tcPr>
    <w:tblStylePr w:type="firstRow">
      <w:rPr>
        <w:b/>
        <w:bCs/>
      </w:rPr>
    </w:tblStylePr>
    <w:tblStylePr w:type="lastRow">
      <w:rPr>
        <w:b/>
        <w:bCs/>
      </w:rPr>
      <w:tblPr/>
      <w:tcPr>
        <w:tcBorders>
          <w:top w:val="single" w:sz="18" w:space="0" w:color="1A92FF" w:themeColor="accent2" w:themeTint="BF"/>
        </w:tcBorders>
      </w:tcPr>
    </w:tblStylePr>
    <w:tblStylePr w:type="firstCol">
      <w:rPr>
        <w:b/>
        <w:bCs/>
      </w:rPr>
    </w:tblStylePr>
    <w:tblStylePr w:type="lastCol">
      <w:rPr>
        <w:b/>
        <w:bCs/>
      </w:r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MediumGrid1-Accent3">
    <w:name w:val="Medium Grid 1 Accent 3"/>
    <w:basedOn w:val="TableNormal"/>
    <w:uiPriority w:val="67"/>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insideV w:val="single" w:sz="8" w:space="0" w:color="9EDDFF" w:themeColor="accent3" w:themeTint="BF"/>
      </w:tblBorders>
    </w:tblPr>
    <w:tcPr>
      <w:shd w:val="clear" w:color="auto" w:fill="DFF3FF" w:themeFill="accent3" w:themeFillTint="3F"/>
    </w:tcPr>
    <w:tblStylePr w:type="firstRow">
      <w:rPr>
        <w:b/>
        <w:bCs/>
      </w:rPr>
    </w:tblStylePr>
    <w:tblStylePr w:type="lastRow">
      <w:rPr>
        <w:b/>
        <w:bCs/>
      </w:rPr>
      <w:tblPr/>
      <w:tcPr>
        <w:tcBorders>
          <w:top w:val="single" w:sz="18" w:space="0" w:color="9EDDFF" w:themeColor="accent3" w:themeTint="BF"/>
        </w:tcBorders>
      </w:tcPr>
    </w:tblStylePr>
    <w:tblStylePr w:type="firstCol">
      <w:rPr>
        <w:b/>
        <w:bCs/>
      </w:rPr>
    </w:tblStylePr>
    <w:tblStylePr w:type="lastCol">
      <w:rPr>
        <w:b/>
        <w:bCs/>
      </w:r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MediumGrid1-Accent4">
    <w:name w:val="Medium Grid 1 Accent 4"/>
    <w:basedOn w:val="TableNormal"/>
    <w:uiPriority w:val="67"/>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insideV w:val="single" w:sz="8" w:space="0" w:color="30B1FF" w:themeColor="accent4" w:themeTint="BF"/>
      </w:tblBorders>
    </w:tblPr>
    <w:tcPr>
      <w:shd w:val="clear" w:color="auto" w:fill="BAE5FF" w:themeFill="accent4" w:themeFillTint="3F"/>
    </w:tcPr>
    <w:tblStylePr w:type="firstRow">
      <w:rPr>
        <w:b/>
        <w:bCs/>
      </w:rPr>
    </w:tblStylePr>
    <w:tblStylePr w:type="lastRow">
      <w:rPr>
        <w:b/>
        <w:bCs/>
      </w:rPr>
      <w:tblPr/>
      <w:tcPr>
        <w:tcBorders>
          <w:top w:val="single" w:sz="18" w:space="0" w:color="30B1FF" w:themeColor="accent4" w:themeTint="BF"/>
        </w:tcBorders>
      </w:tcPr>
    </w:tblStylePr>
    <w:tblStylePr w:type="firstCol">
      <w:rPr>
        <w:b/>
        <w:bCs/>
      </w:rPr>
    </w:tblStylePr>
    <w:tblStylePr w:type="lastCol">
      <w:rPr>
        <w:b/>
        <w:bCs/>
      </w:r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MediumGrid1-Accent5">
    <w:name w:val="Medium Grid 1 Accent 5"/>
    <w:basedOn w:val="TableNormal"/>
    <w:uiPriority w:val="67"/>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insideV w:val="single" w:sz="8" w:space="0" w:color="2663DC" w:themeColor="accent5" w:themeTint="BF"/>
      </w:tblBorders>
    </w:tblPr>
    <w:tcPr>
      <w:shd w:val="clear" w:color="auto" w:fill="B7CBF3" w:themeFill="accent5" w:themeFillTint="3F"/>
    </w:tcPr>
    <w:tblStylePr w:type="firstRow">
      <w:rPr>
        <w:b/>
        <w:bCs/>
      </w:rPr>
    </w:tblStylePr>
    <w:tblStylePr w:type="lastRow">
      <w:rPr>
        <w:b/>
        <w:bCs/>
      </w:rPr>
      <w:tblPr/>
      <w:tcPr>
        <w:tcBorders>
          <w:top w:val="single" w:sz="18" w:space="0" w:color="2663DC" w:themeColor="accent5" w:themeTint="BF"/>
        </w:tcBorders>
      </w:tcPr>
    </w:tblStylePr>
    <w:tblStylePr w:type="firstCol">
      <w:rPr>
        <w:b/>
        <w:bCs/>
      </w:rPr>
    </w:tblStylePr>
    <w:tblStylePr w:type="lastCol">
      <w:rPr>
        <w:b/>
        <w:bCs/>
      </w:r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MediumGrid1-Accent6">
    <w:name w:val="Medium Grid 1 Accent 6"/>
    <w:basedOn w:val="TableNormal"/>
    <w:uiPriority w:val="67"/>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insideV w:val="single" w:sz="8" w:space="0" w:color="04FFFD" w:themeColor="accent6" w:themeTint="BF"/>
      </w:tblBorders>
    </w:tblPr>
    <w:tcPr>
      <w:shd w:val="clear" w:color="auto" w:fill="ACFFFE" w:themeFill="accent6" w:themeFillTint="3F"/>
    </w:tcPr>
    <w:tblStylePr w:type="firstRow">
      <w:rPr>
        <w:b/>
        <w:bCs/>
      </w:rPr>
    </w:tblStylePr>
    <w:tblStylePr w:type="lastRow">
      <w:rPr>
        <w:b/>
        <w:bCs/>
      </w:rPr>
      <w:tblPr/>
      <w:tcPr>
        <w:tcBorders>
          <w:top w:val="single" w:sz="18" w:space="0" w:color="04FFFD" w:themeColor="accent6" w:themeTint="BF"/>
        </w:tcBorders>
      </w:tcPr>
    </w:tblStylePr>
    <w:tblStylePr w:type="firstCol">
      <w:rPr>
        <w:b/>
        <w:bCs/>
      </w:rPr>
    </w:tblStylePr>
    <w:tblStylePr w:type="lastCol">
      <w:rPr>
        <w:b/>
        <w:bCs/>
      </w:r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MediumGrid2">
    <w:name w:val="Medium Grid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cPr>
      <w:shd w:val="clear" w:color="auto" w:fill="BBEEFF" w:themeFill="accent1" w:themeFillTint="3F"/>
    </w:tcPr>
    <w:tblStylePr w:type="firstRow">
      <w:rPr>
        <w:b/>
        <w:bCs/>
        <w:color w:val="000000" w:themeColor="text1"/>
      </w:rPr>
      <w:tblPr/>
      <w:tcPr>
        <w:shd w:val="clear" w:color="auto" w:fill="E4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1FF" w:themeFill="accent1" w:themeFillTint="33"/>
      </w:tcPr>
    </w:tblStylePr>
    <w:tblStylePr w:type="band1Vert">
      <w:tblPr/>
      <w:tcPr>
        <w:shd w:val="clear" w:color="auto" w:fill="77DDFF" w:themeFill="accent1" w:themeFillTint="7F"/>
      </w:tcPr>
    </w:tblStylePr>
    <w:tblStylePr w:type="band1Horz">
      <w:tblPr/>
      <w:tcPr>
        <w:tcBorders>
          <w:insideH w:val="single" w:sz="6" w:space="0" w:color="00B4EE" w:themeColor="accent1"/>
          <w:insideV w:val="single" w:sz="6" w:space="0" w:color="00B4EE" w:themeColor="accent1"/>
        </w:tcBorders>
        <w:shd w:val="clear" w:color="auto" w:fill="77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cPr>
      <w:shd w:val="clear" w:color="auto" w:fill="B3DBFF" w:themeFill="accent2" w:themeFillTint="3F"/>
    </w:tcPr>
    <w:tblStylePr w:type="firstRow">
      <w:rPr>
        <w:b/>
        <w:bCs/>
        <w:color w:val="000000" w:themeColor="text1"/>
      </w:rPr>
      <w:tblPr/>
      <w:tcPr>
        <w:shd w:val="clear" w:color="auto" w:fill="E1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2FF" w:themeFill="accent2" w:themeFillTint="33"/>
      </w:tcPr>
    </w:tblStylePr>
    <w:tblStylePr w:type="band1Vert">
      <w:tblPr/>
      <w:tcPr>
        <w:shd w:val="clear" w:color="auto" w:fill="67B6FF" w:themeFill="accent2" w:themeFillTint="7F"/>
      </w:tcPr>
    </w:tblStylePr>
    <w:tblStylePr w:type="band1Horz">
      <w:tblPr/>
      <w:tcPr>
        <w:tcBorders>
          <w:insideH w:val="single" w:sz="6" w:space="0" w:color="006CCD" w:themeColor="accent2"/>
          <w:insideV w:val="single" w:sz="6" w:space="0" w:color="006CCD" w:themeColor="accent2"/>
        </w:tcBorders>
        <w:shd w:val="clear" w:color="auto" w:fill="67B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cPr>
      <w:shd w:val="clear" w:color="auto" w:fill="DFF3FF" w:themeFill="accent3" w:themeFillTint="3F"/>
    </w:tcPr>
    <w:tblStylePr w:type="firstRow">
      <w:rPr>
        <w:b/>
        <w:bCs/>
        <w:color w:val="000000" w:themeColor="text1"/>
      </w:rPr>
      <w:tblPr/>
      <w:tcPr>
        <w:shd w:val="clear" w:color="auto" w:fill="F2FA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F" w:themeFill="accent3" w:themeFillTint="33"/>
      </w:tcPr>
    </w:tblStylePr>
    <w:tblStylePr w:type="band1Vert">
      <w:tblPr/>
      <w:tcPr>
        <w:shd w:val="clear" w:color="auto" w:fill="BEE8FF" w:themeFill="accent3" w:themeFillTint="7F"/>
      </w:tcPr>
    </w:tblStylePr>
    <w:tblStylePr w:type="band1Horz">
      <w:tblPr/>
      <w:tcPr>
        <w:tcBorders>
          <w:insideH w:val="single" w:sz="6" w:space="0" w:color="7ED2FF" w:themeColor="accent3"/>
          <w:insideV w:val="single" w:sz="6" w:space="0" w:color="7ED2FF" w:themeColor="accent3"/>
        </w:tcBorders>
        <w:shd w:val="clear" w:color="auto" w:fill="BEE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cPr>
      <w:shd w:val="clear" w:color="auto" w:fill="BAE5FF" w:themeFill="accent4" w:themeFillTint="3F"/>
    </w:tcPr>
    <w:tblStylePr w:type="firstRow">
      <w:rPr>
        <w:b/>
        <w:bCs/>
        <w:color w:val="000000" w:themeColor="text1"/>
      </w:rPr>
      <w:tblPr/>
      <w:tcPr>
        <w:shd w:val="clear" w:color="auto" w:fill="E3F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AFF" w:themeFill="accent4" w:themeFillTint="33"/>
      </w:tcPr>
    </w:tblStylePr>
    <w:tblStylePr w:type="band1Vert">
      <w:tblPr/>
      <w:tcPr>
        <w:shd w:val="clear" w:color="auto" w:fill="75CBFF" w:themeFill="accent4" w:themeFillTint="7F"/>
      </w:tcPr>
    </w:tblStylePr>
    <w:tblStylePr w:type="band1Horz">
      <w:tblPr/>
      <w:tcPr>
        <w:tcBorders>
          <w:insideH w:val="single" w:sz="6" w:space="0" w:color="0093EA" w:themeColor="accent4"/>
          <w:insideV w:val="single" w:sz="6" w:space="0" w:color="0093EA" w:themeColor="accent4"/>
        </w:tcBorders>
        <w:shd w:val="clear" w:color="auto" w:fill="75C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cPr>
      <w:shd w:val="clear" w:color="auto" w:fill="B7CBF3" w:themeFill="accent5" w:themeFillTint="3F"/>
    </w:tcPr>
    <w:tblStylePr w:type="firstRow">
      <w:rPr>
        <w:b/>
        <w:bCs/>
        <w:color w:val="000000" w:themeColor="text1"/>
      </w:rPr>
      <w:tblPr/>
      <w:tcPr>
        <w:shd w:val="clear" w:color="auto" w:fill="E2E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5F6" w:themeFill="accent5" w:themeFillTint="33"/>
      </w:tcPr>
    </w:tblStylePr>
    <w:tblStylePr w:type="band1Vert">
      <w:tblPr/>
      <w:tcPr>
        <w:shd w:val="clear" w:color="auto" w:fill="6F97E8" w:themeFill="accent5" w:themeFillTint="7F"/>
      </w:tcPr>
    </w:tblStylePr>
    <w:tblStylePr w:type="band1Horz">
      <w:tblPr/>
      <w:tcPr>
        <w:tcBorders>
          <w:insideH w:val="single" w:sz="6" w:space="0" w:color="184398" w:themeColor="accent5"/>
          <w:insideV w:val="single" w:sz="6" w:space="0" w:color="184398" w:themeColor="accent5"/>
        </w:tcBorders>
        <w:shd w:val="clear" w:color="auto" w:fill="6F9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cPr>
      <w:shd w:val="clear" w:color="auto" w:fill="ACFFFE" w:themeFill="accent6" w:themeFillTint="3F"/>
    </w:tcPr>
    <w:tblStylePr w:type="firstRow">
      <w:rPr>
        <w:b/>
        <w:bCs/>
        <w:color w:val="000000" w:themeColor="text1"/>
      </w:rPr>
      <w:tblPr/>
      <w:tcPr>
        <w:shd w:val="clear" w:color="auto" w:fill="DEFF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E" w:themeFill="accent6" w:themeFillTint="33"/>
      </w:tcPr>
    </w:tblStylePr>
    <w:tblStylePr w:type="band1Vert">
      <w:tblPr/>
      <w:tcPr>
        <w:shd w:val="clear" w:color="auto" w:fill="58FFFD" w:themeFill="accent6" w:themeFillTint="7F"/>
      </w:tcPr>
    </w:tblStylePr>
    <w:tblStylePr w:type="band1Horz">
      <w:tblPr/>
      <w:tcPr>
        <w:tcBorders>
          <w:insideH w:val="single" w:sz="6" w:space="0" w:color="00AFAE" w:themeColor="accent6"/>
          <w:insideV w:val="single" w:sz="6" w:space="0" w:color="00AFAE" w:themeColor="accent6"/>
        </w:tcBorders>
        <w:shd w:val="clear" w:color="auto" w:fill="58FF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DFF" w:themeFill="accent1" w:themeFillTint="7F"/>
      </w:tcPr>
    </w:tblStylePr>
  </w:style>
  <w:style w:type="table" w:styleId="MediumGrid3-Accent2">
    <w:name w:val="Medium Grid 3 Accent 2"/>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C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C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6FF" w:themeFill="accent2" w:themeFillTint="7F"/>
      </w:tcPr>
    </w:tblStylePr>
  </w:style>
  <w:style w:type="table" w:styleId="MediumGrid3-Accent3">
    <w:name w:val="Medium Grid 3 Accent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D2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D2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FF" w:themeFill="accent3" w:themeFillTint="7F"/>
      </w:tcPr>
    </w:tblStylePr>
  </w:style>
  <w:style w:type="table" w:styleId="MediumGrid3-Accent4">
    <w:name w:val="Medium Grid 3 Accent 4"/>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3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3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C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CBFF" w:themeFill="accent4" w:themeFillTint="7F"/>
      </w:tcPr>
    </w:tblStylePr>
  </w:style>
  <w:style w:type="table" w:styleId="MediumGrid3-Accent5">
    <w:name w:val="Medium Grid 3 Accent 5"/>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3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3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9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97E8" w:themeFill="accent5" w:themeFillTint="7F"/>
      </w:tcPr>
    </w:tblStylePr>
  </w:style>
  <w:style w:type="table" w:styleId="MediumGrid3-Accent6">
    <w:name w:val="Medium Grid 3 Accent 6"/>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FD" w:themeFill="accent6" w:themeFillTint="7F"/>
      </w:tcPr>
    </w:tblStylePr>
  </w:style>
  <w:style w:type="table" w:styleId="MediumList1">
    <w:name w:val="Medium List 1"/>
    <w:basedOn w:val="TableNormal"/>
    <w:uiPriority w:val="65"/>
    <w:semiHidden/>
    <w:rsid w:val="007755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E7E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755BA"/>
    <w:pPr>
      <w:spacing w:line="240" w:lineRule="auto"/>
    </w:pPr>
    <w:tblPr>
      <w:tblStyleRowBandSize w:val="1"/>
      <w:tblStyleColBandSize w:val="1"/>
      <w:tblBorders>
        <w:top w:val="single" w:sz="8" w:space="0" w:color="00B4EE" w:themeColor="accent1"/>
        <w:bottom w:val="single" w:sz="8" w:space="0" w:color="00B4EE" w:themeColor="accent1"/>
      </w:tblBorders>
    </w:tblPr>
    <w:tblStylePr w:type="firstRow">
      <w:rPr>
        <w:rFonts w:asciiTheme="majorHAnsi" w:eastAsiaTheme="majorEastAsia" w:hAnsiTheme="majorHAnsi" w:cstheme="majorBidi"/>
      </w:rPr>
      <w:tblPr/>
      <w:tcPr>
        <w:tcBorders>
          <w:top w:val="nil"/>
          <w:bottom w:val="single" w:sz="8" w:space="0" w:color="00B4EE" w:themeColor="accent1"/>
        </w:tcBorders>
      </w:tcPr>
    </w:tblStylePr>
    <w:tblStylePr w:type="lastRow">
      <w:rPr>
        <w:b/>
        <w:bCs/>
        <w:color w:val="E6E7E8" w:themeColor="text2"/>
      </w:rPr>
      <w:tblPr/>
      <w:tcPr>
        <w:tcBorders>
          <w:top w:val="single" w:sz="8" w:space="0" w:color="00B4EE" w:themeColor="accent1"/>
          <w:bottom w:val="single" w:sz="8" w:space="0" w:color="00B4EE" w:themeColor="accent1"/>
        </w:tcBorders>
      </w:tcPr>
    </w:tblStylePr>
    <w:tblStylePr w:type="firstCol">
      <w:rPr>
        <w:b/>
        <w:bCs/>
      </w:rPr>
    </w:tblStylePr>
    <w:tblStylePr w:type="lastCol">
      <w:rPr>
        <w:b/>
        <w:bCs/>
      </w:rPr>
      <w:tblPr/>
      <w:tcPr>
        <w:tcBorders>
          <w:top w:val="single" w:sz="8" w:space="0" w:color="00B4EE" w:themeColor="accent1"/>
          <w:bottom w:val="single" w:sz="8" w:space="0" w:color="00B4EE" w:themeColor="accent1"/>
        </w:tcBorders>
      </w:tcPr>
    </w:tblStylePr>
    <w:tblStylePr w:type="band1Vert">
      <w:tblPr/>
      <w:tcPr>
        <w:shd w:val="clear" w:color="auto" w:fill="BBEEFF" w:themeFill="accent1" w:themeFillTint="3F"/>
      </w:tcPr>
    </w:tblStylePr>
    <w:tblStylePr w:type="band1Horz">
      <w:tblPr/>
      <w:tcPr>
        <w:shd w:val="clear" w:color="auto" w:fill="BBEEFF" w:themeFill="accent1" w:themeFillTint="3F"/>
      </w:tcPr>
    </w:tblStylePr>
  </w:style>
  <w:style w:type="table" w:styleId="MediumList1-Accent2">
    <w:name w:val="Medium List 1 Accent 2"/>
    <w:basedOn w:val="TableNormal"/>
    <w:uiPriority w:val="65"/>
    <w:semiHidden/>
    <w:rsid w:val="007755BA"/>
    <w:pPr>
      <w:spacing w:line="240" w:lineRule="auto"/>
    </w:pPr>
    <w:tblPr>
      <w:tblStyleRowBandSize w:val="1"/>
      <w:tblStyleColBandSize w:val="1"/>
      <w:tblBorders>
        <w:top w:val="single" w:sz="8" w:space="0" w:color="006CCD" w:themeColor="accent2"/>
        <w:bottom w:val="single" w:sz="8" w:space="0" w:color="006CCD" w:themeColor="accent2"/>
      </w:tblBorders>
    </w:tblPr>
    <w:tblStylePr w:type="firstRow">
      <w:rPr>
        <w:rFonts w:asciiTheme="majorHAnsi" w:eastAsiaTheme="majorEastAsia" w:hAnsiTheme="majorHAnsi" w:cstheme="majorBidi"/>
      </w:rPr>
      <w:tblPr/>
      <w:tcPr>
        <w:tcBorders>
          <w:top w:val="nil"/>
          <w:bottom w:val="single" w:sz="8" w:space="0" w:color="006CCD" w:themeColor="accent2"/>
        </w:tcBorders>
      </w:tcPr>
    </w:tblStylePr>
    <w:tblStylePr w:type="lastRow">
      <w:rPr>
        <w:b/>
        <w:bCs/>
        <w:color w:val="E6E7E8" w:themeColor="text2"/>
      </w:rPr>
      <w:tblPr/>
      <w:tcPr>
        <w:tcBorders>
          <w:top w:val="single" w:sz="8" w:space="0" w:color="006CCD" w:themeColor="accent2"/>
          <w:bottom w:val="single" w:sz="8" w:space="0" w:color="006CCD" w:themeColor="accent2"/>
        </w:tcBorders>
      </w:tcPr>
    </w:tblStylePr>
    <w:tblStylePr w:type="firstCol">
      <w:rPr>
        <w:b/>
        <w:bCs/>
      </w:rPr>
    </w:tblStylePr>
    <w:tblStylePr w:type="lastCol">
      <w:rPr>
        <w:b/>
        <w:bCs/>
      </w:rPr>
      <w:tblPr/>
      <w:tcPr>
        <w:tcBorders>
          <w:top w:val="single" w:sz="8" w:space="0" w:color="006CCD" w:themeColor="accent2"/>
          <w:bottom w:val="single" w:sz="8" w:space="0" w:color="006CCD" w:themeColor="accent2"/>
        </w:tcBorders>
      </w:tcPr>
    </w:tblStylePr>
    <w:tblStylePr w:type="band1Vert">
      <w:tblPr/>
      <w:tcPr>
        <w:shd w:val="clear" w:color="auto" w:fill="B3DBFF" w:themeFill="accent2" w:themeFillTint="3F"/>
      </w:tcPr>
    </w:tblStylePr>
    <w:tblStylePr w:type="band1Horz">
      <w:tblPr/>
      <w:tcPr>
        <w:shd w:val="clear" w:color="auto" w:fill="B3DBFF" w:themeFill="accent2" w:themeFillTint="3F"/>
      </w:tcPr>
    </w:tblStylePr>
  </w:style>
  <w:style w:type="table" w:styleId="MediumList1-Accent3">
    <w:name w:val="Medium List 1 Accent 3"/>
    <w:basedOn w:val="TableNormal"/>
    <w:uiPriority w:val="65"/>
    <w:semiHidden/>
    <w:rsid w:val="007755BA"/>
    <w:pPr>
      <w:spacing w:line="240" w:lineRule="auto"/>
    </w:pPr>
    <w:tblPr>
      <w:tblStyleRowBandSize w:val="1"/>
      <w:tblStyleColBandSize w:val="1"/>
      <w:tblBorders>
        <w:top w:val="single" w:sz="8" w:space="0" w:color="7ED2FF" w:themeColor="accent3"/>
        <w:bottom w:val="single" w:sz="8" w:space="0" w:color="7ED2FF" w:themeColor="accent3"/>
      </w:tblBorders>
    </w:tblPr>
    <w:tblStylePr w:type="firstRow">
      <w:rPr>
        <w:rFonts w:asciiTheme="majorHAnsi" w:eastAsiaTheme="majorEastAsia" w:hAnsiTheme="majorHAnsi" w:cstheme="majorBidi"/>
      </w:rPr>
      <w:tblPr/>
      <w:tcPr>
        <w:tcBorders>
          <w:top w:val="nil"/>
          <w:bottom w:val="single" w:sz="8" w:space="0" w:color="7ED2FF" w:themeColor="accent3"/>
        </w:tcBorders>
      </w:tcPr>
    </w:tblStylePr>
    <w:tblStylePr w:type="lastRow">
      <w:rPr>
        <w:b/>
        <w:bCs/>
        <w:color w:val="E6E7E8" w:themeColor="text2"/>
      </w:rPr>
      <w:tblPr/>
      <w:tcPr>
        <w:tcBorders>
          <w:top w:val="single" w:sz="8" w:space="0" w:color="7ED2FF" w:themeColor="accent3"/>
          <w:bottom w:val="single" w:sz="8" w:space="0" w:color="7ED2FF" w:themeColor="accent3"/>
        </w:tcBorders>
      </w:tcPr>
    </w:tblStylePr>
    <w:tblStylePr w:type="firstCol">
      <w:rPr>
        <w:b/>
        <w:bCs/>
      </w:rPr>
    </w:tblStylePr>
    <w:tblStylePr w:type="lastCol">
      <w:rPr>
        <w:b/>
        <w:bCs/>
      </w:rPr>
      <w:tblPr/>
      <w:tcPr>
        <w:tcBorders>
          <w:top w:val="single" w:sz="8" w:space="0" w:color="7ED2FF" w:themeColor="accent3"/>
          <w:bottom w:val="single" w:sz="8" w:space="0" w:color="7ED2FF" w:themeColor="accent3"/>
        </w:tcBorders>
      </w:tcPr>
    </w:tblStylePr>
    <w:tblStylePr w:type="band1Vert">
      <w:tblPr/>
      <w:tcPr>
        <w:shd w:val="clear" w:color="auto" w:fill="DFF3FF" w:themeFill="accent3" w:themeFillTint="3F"/>
      </w:tcPr>
    </w:tblStylePr>
    <w:tblStylePr w:type="band1Horz">
      <w:tblPr/>
      <w:tcPr>
        <w:shd w:val="clear" w:color="auto" w:fill="DFF3FF" w:themeFill="accent3" w:themeFillTint="3F"/>
      </w:tcPr>
    </w:tblStylePr>
  </w:style>
  <w:style w:type="table" w:styleId="MediumList1-Accent4">
    <w:name w:val="Medium List 1 Accent 4"/>
    <w:basedOn w:val="TableNormal"/>
    <w:uiPriority w:val="65"/>
    <w:semiHidden/>
    <w:rsid w:val="007755BA"/>
    <w:pPr>
      <w:spacing w:line="240" w:lineRule="auto"/>
    </w:pPr>
    <w:tblPr>
      <w:tblStyleRowBandSize w:val="1"/>
      <w:tblStyleColBandSize w:val="1"/>
      <w:tblBorders>
        <w:top w:val="single" w:sz="8" w:space="0" w:color="0093EA" w:themeColor="accent4"/>
        <w:bottom w:val="single" w:sz="8" w:space="0" w:color="0093EA" w:themeColor="accent4"/>
      </w:tblBorders>
    </w:tblPr>
    <w:tblStylePr w:type="firstRow">
      <w:rPr>
        <w:rFonts w:asciiTheme="majorHAnsi" w:eastAsiaTheme="majorEastAsia" w:hAnsiTheme="majorHAnsi" w:cstheme="majorBidi"/>
      </w:rPr>
      <w:tblPr/>
      <w:tcPr>
        <w:tcBorders>
          <w:top w:val="nil"/>
          <w:bottom w:val="single" w:sz="8" w:space="0" w:color="0093EA" w:themeColor="accent4"/>
        </w:tcBorders>
      </w:tcPr>
    </w:tblStylePr>
    <w:tblStylePr w:type="lastRow">
      <w:rPr>
        <w:b/>
        <w:bCs/>
        <w:color w:val="E6E7E8" w:themeColor="text2"/>
      </w:rPr>
      <w:tblPr/>
      <w:tcPr>
        <w:tcBorders>
          <w:top w:val="single" w:sz="8" w:space="0" w:color="0093EA" w:themeColor="accent4"/>
          <w:bottom w:val="single" w:sz="8" w:space="0" w:color="0093EA" w:themeColor="accent4"/>
        </w:tcBorders>
      </w:tcPr>
    </w:tblStylePr>
    <w:tblStylePr w:type="firstCol">
      <w:rPr>
        <w:b/>
        <w:bCs/>
      </w:rPr>
    </w:tblStylePr>
    <w:tblStylePr w:type="lastCol">
      <w:rPr>
        <w:b/>
        <w:bCs/>
      </w:rPr>
      <w:tblPr/>
      <w:tcPr>
        <w:tcBorders>
          <w:top w:val="single" w:sz="8" w:space="0" w:color="0093EA" w:themeColor="accent4"/>
          <w:bottom w:val="single" w:sz="8" w:space="0" w:color="0093EA" w:themeColor="accent4"/>
        </w:tcBorders>
      </w:tcPr>
    </w:tblStylePr>
    <w:tblStylePr w:type="band1Vert">
      <w:tblPr/>
      <w:tcPr>
        <w:shd w:val="clear" w:color="auto" w:fill="BAE5FF" w:themeFill="accent4" w:themeFillTint="3F"/>
      </w:tcPr>
    </w:tblStylePr>
    <w:tblStylePr w:type="band1Horz">
      <w:tblPr/>
      <w:tcPr>
        <w:shd w:val="clear" w:color="auto" w:fill="BAE5FF" w:themeFill="accent4" w:themeFillTint="3F"/>
      </w:tcPr>
    </w:tblStylePr>
  </w:style>
  <w:style w:type="table" w:styleId="MediumList1-Accent5">
    <w:name w:val="Medium List 1 Accent 5"/>
    <w:basedOn w:val="TableNormal"/>
    <w:uiPriority w:val="65"/>
    <w:semiHidden/>
    <w:rsid w:val="007755BA"/>
    <w:pPr>
      <w:spacing w:line="240" w:lineRule="auto"/>
    </w:pPr>
    <w:tblPr>
      <w:tblStyleRowBandSize w:val="1"/>
      <w:tblStyleColBandSize w:val="1"/>
      <w:tblBorders>
        <w:top w:val="single" w:sz="8" w:space="0" w:color="184398" w:themeColor="accent5"/>
        <w:bottom w:val="single" w:sz="8" w:space="0" w:color="184398" w:themeColor="accent5"/>
      </w:tblBorders>
    </w:tblPr>
    <w:tblStylePr w:type="firstRow">
      <w:rPr>
        <w:rFonts w:asciiTheme="majorHAnsi" w:eastAsiaTheme="majorEastAsia" w:hAnsiTheme="majorHAnsi" w:cstheme="majorBidi"/>
      </w:rPr>
      <w:tblPr/>
      <w:tcPr>
        <w:tcBorders>
          <w:top w:val="nil"/>
          <w:bottom w:val="single" w:sz="8" w:space="0" w:color="184398" w:themeColor="accent5"/>
        </w:tcBorders>
      </w:tcPr>
    </w:tblStylePr>
    <w:tblStylePr w:type="lastRow">
      <w:rPr>
        <w:b/>
        <w:bCs/>
        <w:color w:val="E6E7E8" w:themeColor="text2"/>
      </w:rPr>
      <w:tblPr/>
      <w:tcPr>
        <w:tcBorders>
          <w:top w:val="single" w:sz="8" w:space="0" w:color="184398" w:themeColor="accent5"/>
          <w:bottom w:val="single" w:sz="8" w:space="0" w:color="184398" w:themeColor="accent5"/>
        </w:tcBorders>
      </w:tcPr>
    </w:tblStylePr>
    <w:tblStylePr w:type="firstCol">
      <w:rPr>
        <w:b/>
        <w:bCs/>
      </w:rPr>
    </w:tblStylePr>
    <w:tblStylePr w:type="lastCol">
      <w:rPr>
        <w:b/>
        <w:bCs/>
      </w:rPr>
      <w:tblPr/>
      <w:tcPr>
        <w:tcBorders>
          <w:top w:val="single" w:sz="8" w:space="0" w:color="184398" w:themeColor="accent5"/>
          <w:bottom w:val="single" w:sz="8" w:space="0" w:color="184398" w:themeColor="accent5"/>
        </w:tcBorders>
      </w:tcPr>
    </w:tblStylePr>
    <w:tblStylePr w:type="band1Vert">
      <w:tblPr/>
      <w:tcPr>
        <w:shd w:val="clear" w:color="auto" w:fill="B7CBF3" w:themeFill="accent5" w:themeFillTint="3F"/>
      </w:tcPr>
    </w:tblStylePr>
    <w:tblStylePr w:type="band1Horz">
      <w:tblPr/>
      <w:tcPr>
        <w:shd w:val="clear" w:color="auto" w:fill="B7CBF3" w:themeFill="accent5" w:themeFillTint="3F"/>
      </w:tcPr>
    </w:tblStylePr>
  </w:style>
  <w:style w:type="table" w:styleId="MediumList1-Accent6">
    <w:name w:val="Medium List 1 Accent 6"/>
    <w:basedOn w:val="TableNormal"/>
    <w:uiPriority w:val="65"/>
    <w:semiHidden/>
    <w:rsid w:val="007755BA"/>
    <w:pPr>
      <w:spacing w:line="240" w:lineRule="auto"/>
    </w:pPr>
    <w:tblPr>
      <w:tblStyleRowBandSize w:val="1"/>
      <w:tblStyleColBandSize w:val="1"/>
      <w:tblBorders>
        <w:top w:val="single" w:sz="8" w:space="0" w:color="00AFAE" w:themeColor="accent6"/>
        <w:bottom w:val="single" w:sz="8" w:space="0" w:color="00AFAE" w:themeColor="accent6"/>
      </w:tblBorders>
    </w:tblPr>
    <w:tblStylePr w:type="firstRow">
      <w:rPr>
        <w:rFonts w:asciiTheme="majorHAnsi" w:eastAsiaTheme="majorEastAsia" w:hAnsiTheme="majorHAnsi" w:cstheme="majorBidi"/>
      </w:rPr>
      <w:tblPr/>
      <w:tcPr>
        <w:tcBorders>
          <w:top w:val="nil"/>
          <w:bottom w:val="single" w:sz="8" w:space="0" w:color="00AFAE" w:themeColor="accent6"/>
        </w:tcBorders>
      </w:tcPr>
    </w:tblStylePr>
    <w:tblStylePr w:type="lastRow">
      <w:rPr>
        <w:b/>
        <w:bCs/>
        <w:color w:val="E6E7E8" w:themeColor="text2"/>
      </w:rPr>
      <w:tblPr/>
      <w:tcPr>
        <w:tcBorders>
          <w:top w:val="single" w:sz="8" w:space="0" w:color="00AFAE" w:themeColor="accent6"/>
          <w:bottom w:val="single" w:sz="8" w:space="0" w:color="00AFAE" w:themeColor="accent6"/>
        </w:tcBorders>
      </w:tcPr>
    </w:tblStylePr>
    <w:tblStylePr w:type="firstCol">
      <w:rPr>
        <w:b/>
        <w:bCs/>
      </w:rPr>
    </w:tblStylePr>
    <w:tblStylePr w:type="lastCol">
      <w:rPr>
        <w:b/>
        <w:bCs/>
      </w:rPr>
      <w:tblPr/>
      <w:tcPr>
        <w:tcBorders>
          <w:top w:val="single" w:sz="8" w:space="0" w:color="00AFAE" w:themeColor="accent6"/>
          <w:bottom w:val="single" w:sz="8" w:space="0" w:color="00AFAE" w:themeColor="accent6"/>
        </w:tcBorders>
      </w:tcPr>
    </w:tblStylePr>
    <w:tblStylePr w:type="band1Vert">
      <w:tblPr/>
      <w:tcPr>
        <w:shd w:val="clear" w:color="auto" w:fill="ACFFFE" w:themeFill="accent6" w:themeFillTint="3F"/>
      </w:tcPr>
    </w:tblStylePr>
    <w:tblStylePr w:type="band1Horz">
      <w:tblPr/>
      <w:tcPr>
        <w:shd w:val="clear" w:color="auto" w:fill="ACFFFE" w:themeFill="accent6" w:themeFillTint="3F"/>
      </w:tcPr>
    </w:tblStylePr>
  </w:style>
  <w:style w:type="table" w:styleId="MediumList2">
    <w:name w:val="Medium Lis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rPr>
        <w:sz w:val="24"/>
        <w:szCs w:val="24"/>
      </w:rPr>
      <w:tblPr/>
      <w:tcPr>
        <w:tcBorders>
          <w:top w:val="nil"/>
          <w:left w:val="nil"/>
          <w:bottom w:val="single" w:sz="24" w:space="0" w:color="00B4EE" w:themeColor="accent1"/>
          <w:right w:val="nil"/>
          <w:insideH w:val="nil"/>
          <w:insideV w:val="nil"/>
        </w:tcBorders>
        <w:shd w:val="clear" w:color="auto" w:fill="FFFFFF" w:themeFill="background1"/>
      </w:tcPr>
    </w:tblStylePr>
    <w:tblStylePr w:type="lastRow">
      <w:tblPr/>
      <w:tcPr>
        <w:tcBorders>
          <w:top w:val="single" w:sz="8" w:space="0" w:color="00B4E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E" w:themeColor="accent1"/>
          <w:insideH w:val="nil"/>
          <w:insideV w:val="nil"/>
        </w:tcBorders>
        <w:shd w:val="clear" w:color="auto" w:fill="FFFFFF" w:themeFill="background1"/>
      </w:tcPr>
    </w:tblStylePr>
    <w:tblStylePr w:type="lastCol">
      <w:tblPr/>
      <w:tcPr>
        <w:tcBorders>
          <w:top w:val="nil"/>
          <w:left w:val="single" w:sz="8" w:space="0" w:color="00B4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top w:val="nil"/>
          <w:bottom w:val="nil"/>
          <w:insideH w:val="nil"/>
          <w:insideV w:val="nil"/>
        </w:tcBorders>
        <w:shd w:val="clear" w:color="auto" w:fill="BB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rPr>
        <w:sz w:val="24"/>
        <w:szCs w:val="24"/>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tblPr/>
      <w:tcPr>
        <w:tcBorders>
          <w:top w:val="single" w:sz="8" w:space="0" w:color="006C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CCD" w:themeColor="accent2"/>
          <w:insideH w:val="nil"/>
          <w:insideV w:val="nil"/>
        </w:tcBorders>
        <w:shd w:val="clear" w:color="auto" w:fill="FFFFFF" w:themeFill="background1"/>
      </w:tcPr>
    </w:tblStylePr>
    <w:tblStylePr w:type="lastCol">
      <w:tblPr/>
      <w:tcPr>
        <w:tcBorders>
          <w:top w:val="nil"/>
          <w:left w:val="single" w:sz="8" w:space="0" w:color="006C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top w:val="nil"/>
          <w:bottom w:val="nil"/>
          <w:insideH w:val="nil"/>
          <w:insideV w:val="nil"/>
        </w:tcBorders>
        <w:shd w:val="clear" w:color="auto" w:fill="B3D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rPr>
        <w:sz w:val="24"/>
        <w:szCs w:val="24"/>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tblPr/>
      <w:tcPr>
        <w:tcBorders>
          <w:top w:val="single" w:sz="8" w:space="0" w:color="7ED2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D2FF" w:themeColor="accent3"/>
          <w:insideH w:val="nil"/>
          <w:insideV w:val="nil"/>
        </w:tcBorders>
        <w:shd w:val="clear" w:color="auto" w:fill="FFFFFF" w:themeFill="background1"/>
      </w:tcPr>
    </w:tblStylePr>
    <w:tblStylePr w:type="lastCol">
      <w:tblPr/>
      <w:tcPr>
        <w:tcBorders>
          <w:top w:val="nil"/>
          <w:left w:val="single" w:sz="8" w:space="0" w:color="7ED2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top w:val="nil"/>
          <w:bottom w:val="nil"/>
          <w:insideH w:val="nil"/>
          <w:insideV w:val="nil"/>
        </w:tcBorders>
        <w:shd w:val="clear" w:color="auto" w:fill="DFF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rPr>
        <w:sz w:val="24"/>
        <w:szCs w:val="24"/>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tblPr/>
      <w:tcPr>
        <w:tcBorders>
          <w:top w:val="single" w:sz="8" w:space="0" w:color="0093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3EA" w:themeColor="accent4"/>
          <w:insideH w:val="nil"/>
          <w:insideV w:val="nil"/>
        </w:tcBorders>
        <w:shd w:val="clear" w:color="auto" w:fill="FFFFFF" w:themeFill="background1"/>
      </w:tcPr>
    </w:tblStylePr>
    <w:tblStylePr w:type="lastCol">
      <w:tblPr/>
      <w:tcPr>
        <w:tcBorders>
          <w:top w:val="nil"/>
          <w:left w:val="single" w:sz="8" w:space="0" w:color="0093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top w:val="nil"/>
          <w:bottom w:val="nil"/>
          <w:insideH w:val="nil"/>
          <w:insideV w:val="nil"/>
        </w:tcBorders>
        <w:shd w:val="clear" w:color="auto" w:fill="BA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rPr>
        <w:sz w:val="24"/>
        <w:szCs w:val="24"/>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tblPr/>
      <w:tcPr>
        <w:tcBorders>
          <w:top w:val="single" w:sz="8" w:space="0" w:color="1843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398" w:themeColor="accent5"/>
          <w:insideH w:val="nil"/>
          <w:insideV w:val="nil"/>
        </w:tcBorders>
        <w:shd w:val="clear" w:color="auto" w:fill="FFFFFF" w:themeFill="background1"/>
      </w:tcPr>
    </w:tblStylePr>
    <w:tblStylePr w:type="lastCol">
      <w:tblPr/>
      <w:tcPr>
        <w:tcBorders>
          <w:top w:val="nil"/>
          <w:left w:val="single" w:sz="8" w:space="0" w:color="1843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top w:val="nil"/>
          <w:bottom w:val="nil"/>
          <w:insideH w:val="nil"/>
          <w:insideV w:val="nil"/>
        </w:tcBorders>
        <w:shd w:val="clear" w:color="auto" w:fill="B7C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rPr>
        <w:sz w:val="24"/>
        <w:szCs w:val="24"/>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tblPr/>
      <w:tcPr>
        <w:tcBorders>
          <w:top w:val="single" w:sz="8" w:space="0" w:color="00AFA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AE" w:themeColor="accent6"/>
          <w:insideH w:val="nil"/>
          <w:insideV w:val="nil"/>
        </w:tcBorders>
        <w:shd w:val="clear" w:color="auto" w:fill="FFFFFF" w:themeFill="background1"/>
      </w:tcPr>
    </w:tblStylePr>
    <w:tblStylePr w:type="lastCol">
      <w:tblPr/>
      <w:tcPr>
        <w:tcBorders>
          <w:top w:val="nil"/>
          <w:left w:val="single" w:sz="8" w:space="0" w:color="00AF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top w:val="nil"/>
          <w:bottom w:val="nil"/>
          <w:insideH w:val="nil"/>
          <w:insideV w:val="nil"/>
        </w:tcBorders>
        <w:shd w:val="clear" w:color="auto" w:fill="ACFF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tblBorders>
    </w:tblPr>
    <w:tblStylePr w:type="firstRow">
      <w:pPr>
        <w:spacing w:before="0" w:after="0" w:line="240" w:lineRule="auto"/>
      </w:pPr>
      <w:rPr>
        <w:b/>
        <w:bCs/>
        <w:color w:val="FFFFFF" w:themeColor="background1"/>
      </w:rPr>
      <w:tblPr/>
      <w:tcPr>
        <w:tc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shd w:val="clear" w:color="auto" w:fill="00B4EE" w:themeFill="accent1"/>
      </w:tcPr>
    </w:tblStylePr>
    <w:tblStylePr w:type="lastRow">
      <w:pPr>
        <w:spacing w:before="0" w:after="0" w:line="240" w:lineRule="auto"/>
      </w:pPr>
      <w:rPr>
        <w:b/>
        <w:bCs/>
      </w:rPr>
      <w:tblPr/>
      <w:tcPr>
        <w:tcBorders>
          <w:top w:val="double" w:sz="6"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EFF" w:themeFill="accent1" w:themeFillTint="3F"/>
      </w:tcPr>
    </w:tblStylePr>
    <w:tblStylePr w:type="band1Horz">
      <w:tblPr/>
      <w:tcPr>
        <w:tcBorders>
          <w:insideH w:val="nil"/>
          <w:insideV w:val="nil"/>
        </w:tcBorders>
        <w:shd w:val="clear" w:color="auto" w:fill="BB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tblBorders>
    </w:tblPr>
    <w:tblStylePr w:type="firstRow">
      <w:pPr>
        <w:spacing w:before="0" w:after="0" w:line="240" w:lineRule="auto"/>
      </w:pPr>
      <w:rPr>
        <w:b/>
        <w:bCs/>
        <w:color w:val="FFFFFF" w:themeColor="background1"/>
      </w:rPr>
      <w:tblPr/>
      <w:tcPr>
        <w:tc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shd w:val="clear" w:color="auto" w:fill="006CCD" w:themeFill="accent2"/>
      </w:tcPr>
    </w:tblStylePr>
    <w:tblStylePr w:type="lastRow">
      <w:pPr>
        <w:spacing w:before="0" w:after="0" w:line="240" w:lineRule="auto"/>
      </w:pPr>
      <w:rPr>
        <w:b/>
        <w:bCs/>
      </w:rPr>
      <w:tblPr/>
      <w:tcPr>
        <w:tcBorders>
          <w:top w:val="double" w:sz="6"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BFF" w:themeFill="accent2" w:themeFillTint="3F"/>
      </w:tcPr>
    </w:tblStylePr>
    <w:tblStylePr w:type="band1Horz">
      <w:tblPr/>
      <w:tcPr>
        <w:tcBorders>
          <w:insideH w:val="nil"/>
          <w:insideV w:val="nil"/>
        </w:tcBorders>
        <w:shd w:val="clear" w:color="auto" w:fill="B3D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tblBorders>
    </w:tblPr>
    <w:tblStylePr w:type="firstRow">
      <w:pPr>
        <w:spacing w:before="0" w:after="0" w:line="240" w:lineRule="auto"/>
      </w:pPr>
      <w:rPr>
        <w:b/>
        <w:bCs/>
        <w:color w:val="FFFFFF" w:themeColor="background1"/>
      </w:rPr>
      <w:tblPr/>
      <w:tcPr>
        <w:tc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shd w:val="clear" w:color="auto" w:fill="7ED2FF" w:themeFill="accent3"/>
      </w:tcPr>
    </w:tblStylePr>
    <w:tblStylePr w:type="lastRow">
      <w:pPr>
        <w:spacing w:before="0" w:after="0" w:line="240" w:lineRule="auto"/>
      </w:pPr>
      <w:rPr>
        <w:b/>
        <w:bCs/>
      </w:rPr>
      <w:tblPr/>
      <w:tcPr>
        <w:tcBorders>
          <w:top w:val="double" w:sz="6"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3FF" w:themeFill="accent3" w:themeFillTint="3F"/>
      </w:tcPr>
    </w:tblStylePr>
    <w:tblStylePr w:type="band1Horz">
      <w:tblPr/>
      <w:tcPr>
        <w:tcBorders>
          <w:insideH w:val="nil"/>
          <w:insideV w:val="nil"/>
        </w:tcBorders>
        <w:shd w:val="clear" w:color="auto" w:fill="DFF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tblBorders>
    </w:tblPr>
    <w:tblStylePr w:type="firstRow">
      <w:pPr>
        <w:spacing w:before="0" w:after="0" w:line="240" w:lineRule="auto"/>
      </w:pPr>
      <w:rPr>
        <w:b/>
        <w:bCs/>
        <w:color w:val="FFFFFF" w:themeColor="background1"/>
      </w:rPr>
      <w:tblPr/>
      <w:tcPr>
        <w:tc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shd w:val="clear" w:color="auto" w:fill="0093EA" w:themeFill="accent4"/>
      </w:tcPr>
    </w:tblStylePr>
    <w:tblStylePr w:type="lastRow">
      <w:pPr>
        <w:spacing w:before="0" w:after="0" w:line="240" w:lineRule="auto"/>
      </w:pPr>
      <w:rPr>
        <w:b/>
        <w:bCs/>
      </w:rPr>
      <w:tblPr/>
      <w:tcPr>
        <w:tcBorders>
          <w:top w:val="double" w:sz="6"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AE5FF" w:themeFill="accent4" w:themeFillTint="3F"/>
      </w:tcPr>
    </w:tblStylePr>
    <w:tblStylePr w:type="band1Horz">
      <w:tblPr/>
      <w:tcPr>
        <w:tcBorders>
          <w:insideH w:val="nil"/>
          <w:insideV w:val="nil"/>
        </w:tcBorders>
        <w:shd w:val="clear" w:color="auto" w:fill="BA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tblBorders>
    </w:tblPr>
    <w:tblStylePr w:type="firstRow">
      <w:pPr>
        <w:spacing w:before="0" w:after="0" w:line="240" w:lineRule="auto"/>
      </w:pPr>
      <w:rPr>
        <w:b/>
        <w:bCs/>
        <w:color w:val="FFFFFF" w:themeColor="background1"/>
      </w:rPr>
      <w:tblPr/>
      <w:tcPr>
        <w:tc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shd w:val="clear" w:color="auto" w:fill="184398" w:themeFill="accent5"/>
      </w:tcPr>
    </w:tblStylePr>
    <w:tblStylePr w:type="lastRow">
      <w:pPr>
        <w:spacing w:before="0" w:after="0" w:line="240" w:lineRule="auto"/>
      </w:pPr>
      <w:rPr>
        <w:b/>
        <w:bCs/>
      </w:rPr>
      <w:tblPr/>
      <w:tcPr>
        <w:tcBorders>
          <w:top w:val="double" w:sz="6"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BF3" w:themeFill="accent5" w:themeFillTint="3F"/>
      </w:tcPr>
    </w:tblStylePr>
    <w:tblStylePr w:type="band1Horz">
      <w:tblPr/>
      <w:tcPr>
        <w:tcBorders>
          <w:insideH w:val="nil"/>
          <w:insideV w:val="nil"/>
        </w:tcBorders>
        <w:shd w:val="clear" w:color="auto" w:fill="B7C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tblBorders>
    </w:tblPr>
    <w:tblStylePr w:type="firstRow">
      <w:pPr>
        <w:spacing w:before="0" w:after="0" w:line="240" w:lineRule="auto"/>
      </w:pPr>
      <w:rPr>
        <w:b/>
        <w:bCs/>
        <w:color w:val="FFFFFF" w:themeColor="background1"/>
      </w:rPr>
      <w:tblPr/>
      <w:tcPr>
        <w:tc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shd w:val="clear" w:color="auto" w:fill="00AFAE" w:themeFill="accent6"/>
      </w:tcPr>
    </w:tblStylePr>
    <w:tblStylePr w:type="lastRow">
      <w:pPr>
        <w:spacing w:before="0" w:after="0" w:line="240" w:lineRule="auto"/>
      </w:pPr>
      <w:rPr>
        <w:b/>
        <w:bCs/>
      </w:rPr>
      <w:tblPr/>
      <w:tcPr>
        <w:tcBorders>
          <w:top w:val="double" w:sz="6"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FE" w:themeFill="accent6" w:themeFillTint="3F"/>
      </w:tcPr>
    </w:tblStylePr>
    <w:tblStylePr w:type="band1Horz">
      <w:tblPr/>
      <w:tcPr>
        <w:tcBorders>
          <w:insideH w:val="nil"/>
          <w:insideV w:val="nil"/>
        </w:tcBorders>
        <w:shd w:val="clear" w:color="auto" w:fill="ACFF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E" w:themeFill="accent1"/>
      </w:tcPr>
    </w:tblStylePr>
    <w:tblStylePr w:type="lastCol">
      <w:rPr>
        <w:b/>
        <w:bCs/>
        <w:color w:val="FFFFFF" w:themeColor="background1"/>
      </w:rPr>
      <w:tblPr/>
      <w:tcPr>
        <w:tcBorders>
          <w:left w:val="nil"/>
          <w:right w:val="nil"/>
          <w:insideH w:val="nil"/>
          <w:insideV w:val="nil"/>
        </w:tcBorders>
        <w:shd w:val="clear" w:color="auto" w:fill="00B4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C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CCD" w:themeFill="accent2"/>
      </w:tcPr>
    </w:tblStylePr>
    <w:tblStylePr w:type="lastCol">
      <w:rPr>
        <w:b/>
        <w:bCs/>
        <w:color w:val="FFFFFF" w:themeColor="background1"/>
      </w:rPr>
      <w:tblPr/>
      <w:tcPr>
        <w:tcBorders>
          <w:left w:val="nil"/>
          <w:right w:val="nil"/>
          <w:insideH w:val="nil"/>
          <w:insideV w:val="nil"/>
        </w:tcBorders>
        <w:shd w:val="clear" w:color="auto" w:fill="006C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D2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D2FF" w:themeFill="accent3"/>
      </w:tcPr>
    </w:tblStylePr>
    <w:tblStylePr w:type="lastCol">
      <w:rPr>
        <w:b/>
        <w:bCs/>
        <w:color w:val="FFFFFF" w:themeColor="background1"/>
      </w:rPr>
      <w:tblPr/>
      <w:tcPr>
        <w:tcBorders>
          <w:left w:val="nil"/>
          <w:right w:val="nil"/>
          <w:insideH w:val="nil"/>
          <w:insideV w:val="nil"/>
        </w:tcBorders>
        <w:shd w:val="clear" w:color="auto" w:fill="7ED2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EA" w:themeFill="accent4"/>
      </w:tcPr>
    </w:tblStylePr>
    <w:tblStylePr w:type="lastCol">
      <w:rPr>
        <w:b/>
        <w:bCs/>
        <w:color w:val="FFFFFF" w:themeColor="background1"/>
      </w:rPr>
      <w:tblPr/>
      <w:tcPr>
        <w:tcBorders>
          <w:left w:val="nil"/>
          <w:right w:val="nil"/>
          <w:insideH w:val="nil"/>
          <w:insideV w:val="nil"/>
        </w:tcBorders>
        <w:shd w:val="clear" w:color="auto" w:fill="0093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3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398" w:themeFill="accent5"/>
      </w:tcPr>
    </w:tblStylePr>
    <w:tblStylePr w:type="lastCol">
      <w:rPr>
        <w:b/>
        <w:bCs/>
        <w:color w:val="FFFFFF" w:themeColor="background1"/>
      </w:rPr>
      <w:tblPr/>
      <w:tcPr>
        <w:tcBorders>
          <w:left w:val="nil"/>
          <w:right w:val="nil"/>
          <w:insideH w:val="nil"/>
          <w:insideV w:val="nil"/>
        </w:tcBorders>
        <w:shd w:val="clear" w:color="auto" w:fill="1843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E" w:themeFill="accent6"/>
      </w:tcPr>
    </w:tblStylePr>
    <w:tblStylePr w:type="lastCol">
      <w:rPr>
        <w:b/>
        <w:bCs/>
        <w:color w:val="FFFFFF" w:themeColor="background1"/>
      </w:rPr>
      <w:tblPr/>
      <w:tcPr>
        <w:tcBorders>
          <w:left w:val="nil"/>
          <w:right w:val="nil"/>
          <w:insideH w:val="nil"/>
          <w:insideV w:val="nil"/>
        </w:tcBorders>
        <w:shd w:val="clear" w:color="auto" w:fill="00AF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7755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55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55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55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55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ceholderTable">
    <w:name w:val="Placeholder Table"/>
    <w:basedOn w:val="TableNormal"/>
    <w:uiPriority w:val="99"/>
    <w:rsid w:val="00E7047F"/>
    <w:pPr>
      <w:spacing w:before="0" w:after="0"/>
    </w:pPr>
    <w:tblPr>
      <w:tblCellMar>
        <w:left w:w="0" w:type="dxa"/>
        <w:right w:w="0" w:type="dxa"/>
      </w:tblCellMar>
    </w:tblPr>
  </w:style>
  <w:style w:type="paragraph" w:styleId="FootnoteText">
    <w:name w:val="footnote text"/>
    <w:basedOn w:val="Normal"/>
    <w:link w:val="FootnoteTextChar"/>
    <w:semiHidden/>
    <w:unhideWhenUsed/>
    <w:rsid w:val="008330B4"/>
    <w:pPr>
      <w:spacing w:before="0" w:after="0" w:line="240" w:lineRule="auto"/>
    </w:pPr>
  </w:style>
  <w:style w:type="character" w:customStyle="1" w:styleId="FootnoteTextChar">
    <w:name w:val="Footnote Text Char"/>
    <w:basedOn w:val="DefaultParagraphFont"/>
    <w:link w:val="FootnoteText"/>
    <w:semiHidden/>
    <w:rsid w:val="008330B4"/>
  </w:style>
  <w:style w:type="paragraph" w:styleId="NoSpacing">
    <w:name w:val="No Spacing"/>
    <w:rsid w:val="008330B4"/>
    <w:pPr>
      <w:spacing w:before="0" w:after="0"/>
    </w:pPr>
  </w:style>
  <w:style w:type="paragraph" w:customStyle="1" w:styleId="ListContinueBullet">
    <w:name w:val="List Continue Bullet"/>
    <w:basedOn w:val="ListContinue"/>
    <w:rsid w:val="003A4730"/>
    <w:pPr>
      <w:spacing w:before="50" w:after="50"/>
      <w:ind w:left="198"/>
    </w:pPr>
  </w:style>
  <w:style w:type="paragraph" w:customStyle="1" w:styleId="TableText">
    <w:name w:val="Table Text"/>
    <w:basedOn w:val="Normal"/>
    <w:qFormat/>
    <w:rsid w:val="00281D5E"/>
    <w:pPr>
      <w:spacing w:before="120" w:after="120"/>
    </w:pPr>
  </w:style>
  <w:style w:type="paragraph" w:styleId="Caption">
    <w:name w:val="caption"/>
    <w:basedOn w:val="Normal"/>
    <w:next w:val="Normal"/>
    <w:uiPriority w:val="2"/>
    <w:rsid w:val="00BE5C05"/>
    <w:pPr>
      <w:keepNext/>
      <w:spacing w:before="360" w:after="100"/>
    </w:pPr>
    <w:rPr>
      <w:rFonts w:asciiTheme="majorHAnsi" w:hAnsiTheme="majorHAnsi"/>
      <w:b/>
      <w:iCs/>
      <w:color w:val="000000" w:themeColor="text1"/>
      <w:szCs w:val="18"/>
    </w:rPr>
  </w:style>
  <w:style w:type="paragraph" w:styleId="Title">
    <w:name w:val="Title"/>
    <w:basedOn w:val="Normal"/>
    <w:next w:val="Normal"/>
    <w:link w:val="TitleChar"/>
    <w:uiPriority w:val="2"/>
    <w:rsid w:val="00BE5C05"/>
    <w:pPr>
      <w:framePr w:hSpace="181" w:wrap="around" w:vAnchor="page" w:hAnchor="page" w:x="7089" w:y="993"/>
      <w:spacing w:after="640" w:line="218" w:lineRule="auto"/>
      <w:suppressOverlap/>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2"/>
    <w:rsid w:val="00BE5C05"/>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2"/>
    <w:rsid w:val="006A11F5"/>
    <w:pPr>
      <w:framePr w:hSpace="181" w:wrap="around" w:vAnchor="page" w:hAnchor="page" w:x="7089" w:y="993"/>
      <w:numPr>
        <w:ilvl w:val="1"/>
      </w:numPr>
      <w:spacing w:before="0" w:after="0" w:line="228" w:lineRule="auto"/>
      <w:suppressOverlap/>
    </w:pPr>
    <w:rPr>
      <w:rFonts w:asciiTheme="majorHAnsi" w:eastAsiaTheme="minorEastAsia" w:hAnsiTheme="majorHAnsi" w:cstheme="minorBidi"/>
      <w:color w:val="FFFFFF" w:themeColor="background1"/>
      <w:sz w:val="26"/>
      <w:szCs w:val="22"/>
    </w:rPr>
  </w:style>
  <w:style w:type="character" w:customStyle="1" w:styleId="SubtitleChar">
    <w:name w:val="Subtitle Char"/>
    <w:basedOn w:val="DefaultParagraphFont"/>
    <w:link w:val="Subtitle"/>
    <w:uiPriority w:val="2"/>
    <w:rsid w:val="006A11F5"/>
    <w:rPr>
      <w:rFonts w:asciiTheme="majorHAnsi" w:eastAsiaTheme="minorEastAsia" w:hAnsiTheme="majorHAnsi" w:cstheme="minorBidi"/>
      <w:color w:val="FFFFFF" w:themeColor="background1"/>
      <w:sz w:val="26"/>
      <w:szCs w:val="22"/>
    </w:rPr>
  </w:style>
  <w:style w:type="paragraph" w:customStyle="1" w:styleId="Introtext">
    <w:name w:val="Intro text"/>
    <w:basedOn w:val="BodyText"/>
    <w:qFormat/>
    <w:rsid w:val="00E71737"/>
    <w:pPr>
      <w:pBdr>
        <w:top w:val="single" w:sz="4" w:space="14" w:color="00B4EE" w:themeColor="accent1"/>
        <w:bottom w:val="single" w:sz="4" w:space="10" w:color="00B4EE" w:themeColor="accent1"/>
      </w:pBdr>
      <w:spacing w:before="520" w:after="240"/>
    </w:pPr>
    <w:rPr>
      <w:color w:val="00B4EE" w:themeColor="accent1"/>
      <w:sz w:val="22"/>
    </w:rPr>
  </w:style>
  <w:style w:type="paragraph" w:customStyle="1" w:styleId="TableBullet">
    <w:name w:val="Table Bullet"/>
    <w:basedOn w:val="Normal"/>
    <w:qFormat/>
    <w:rsid w:val="00B35C8C"/>
    <w:pPr>
      <w:numPr>
        <w:numId w:val="35"/>
      </w:numPr>
      <w:spacing w:before="120" w:after="120"/>
    </w:pPr>
    <w:rPr>
      <w:color w:val="000000" w:themeColor="text1"/>
      <w:szCs w:val="21"/>
    </w:rPr>
  </w:style>
  <w:style w:type="paragraph" w:customStyle="1" w:styleId="TableNumbering">
    <w:name w:val="Table Numbering"/>
    <w:basedOn w:val="TableText"/>
    <w:qFormat/>
    <w:rsid w:val="00B3440D"/>
    <w:pPr>
      <w:numPr>
        <w:numId w:val="37"/>
      </w:numPr>
    </w:pPr>
  </w:style>
  <w:style w:type="paragraph" w:customStyle="1" w:styleId="FooterTextRight">
    <w:name w:val="Footer Text Right"/>
    <w:basedOn w:val="Footer"/>
    <w:uiPriority w:val="99"/>
    <w:rsid w:val="009B5347"/>
    <w:pPr>
      <w:jc w:val="right"/>
    </w:pPr>
  </w:style>
  <w:style w:type="paragraph" w:customStyle="1" w:styleId="TableHeading">
    <w:name w:val="Table Heading"/>
    <w:basedOn w:val="Normal"/>
    <w:qFormat/>
    <w:rsid w:val="00B3440D"/>
    <w:pPr>
      <w:spacing w:before="0" w:after="0"/>
    </w:pPr>
    <w:rPr>
      <w:color w:val="FFFFFF" w:themeColor="background1"/>
    </w:rPr>
  </w:style>
  <w:style w:type="paragraph" w:customStyle="1" w:styleId="FocusArea">
    <w:name w:val="Focus Area"/>
    <w:basedOn w:val="BodyText"/>
    <w:uiPriority w:val="1"/>
    <w:qFormat/>
    <w:rsid w:val="009767EB"/>
    <w:pPr>
      <w:spacing w:after="0"/>
    </w:pPr>
    <w:rPr>
      <w:rFonts w:asciiTheme="majorHAnsi" w:hAnsiTheme="majorHAnsi"/>
      <w:color w:val="006CCD" w:themeColor="accent2"/>
      <w:sz w:val="30"/>
    </w:rPr>
  </w:style>
  <w:style w:type="paragraph" w:customStyle="1" w:styleId="FocusAreaTitle">
    <w:name w:val="Focus Area Title"/>
    <w:basedOn w:val="FocusArea"/>
    <w:uiPriority w:val="1"/>
    <w:qFormat/>
    <w:rsid w:val="00BE5C05"/>
    <w:pPr>
      <w:spacing w:before="0" w:after="340"/>
    </w:pPr>
    <w:rPr>
      <w:b/>
    </w:rPr>
  </w:style>
  <w:style w:type="paragraph" w:customStyle="1" w:styleId="FocusAreaObjective">
    <w:name w:val="Focus Area Objective"/>
    <w:basedOn w:val="BodyText"/>
    <w:uiPriority w:val="1"/>
    <w:qFormat/>
    <w:rsid w:val="00BE5C05"/>
    <w:pPr>
      <w:spacing w:after="90"/>
    </w:pPr>
    <w:rPr>
      <w:rFonts w:asciiTheme="majorHAnsi" w:hAnsiTheme="majorHAnsi"/>
      <w:b/>
      <w:color w:val="00B4EE" w:themeColor="accent1"/>
      <w:sz w:val="22"/>
    </w:rPr>
  </w:style>
  <w:style w:type="paragraph" w:customStyle="1" w:styleId="FocusAreaBodyText">
    <w:name w:val="Focus Area Body Text"/>
    <w:basedOn w:val="BodyText"/>
    <w:uiPriority w:val="1"/>
    <w:qFormat/>
    <w:rsid w:val="00B04090"/>
    <w:pPr>
      <w:spacing w:line="254" w:lineRule="auto"/>
    </w:pPr>
    <w:rPr>
      <w:sz w:val="22"/>
    </w:rPr>
  </w:style>
  <w:style w:type="paragraph" w:styleId="TOC1">
    <w:name w:val="toc 1"/>
    <w:basedOn w:val="Normal"/>
    <w:next w:val="Normal"/>
    <w:autoRedefine/>
    <w:uiPriority w:val="39"/>
    <w:unhideWhenUsed/>
    <w:rsid w:val="004C1C7C"/>
    <w:pPr>
      <w:tabs>
        <w:tab w:val="right" w:leader="dot" w:pos="9629"/>
      </w:tabs>
      <w:spacing w:after="60"/>
    </w:pPr>
    <w:rPr>
      <w:rFonts w:ascii="Muli SemiBold" w:hAnsi="Muli SemiBold"/>
      <w:color w:val="00B4EE" w:themeColor="accent1"/>
    </w:rPr>
  </w:style>
  <w:style w:type="paragraph" w:styleId="TOC2">
    <w:name w:val="toc 2"/>
    <w:basedOn w:val="Normal"/>
    <w:next w:val="Normal"/>
    <w:autoRedefine/>
    <w:uiPriority w:val="39"/>
    <w:unhideWhenUsed/>
    <w:rsid w:val="004C1C7C"/>
    <w:pPr>
      <w:tabs>
        <w:tab w:val="right" w:leader="dot" w:pos="9629"/>
      </w:tabs>
      <w:spacing w:after="60"/>
    </w:pPr>
  </w:style>
  <w:style w:type="paragraph" w:styleId="TOC3">
    <w:name w:val="toc 3"/>
    <w:basedOn w:val="Normal"/>
    <w:next w:val="Normal"/>
    <w:autoRedefine/>
    <w:uiPriority w:val="39"/>
    <w:unhideWhenUsed/>
    <w:rsid w:val="004C1C7C"/>
    <w:pPr>
      <w:tabs>
        <w:tab w:val="right" w:leader="dot" w:pos="9629"/>
      </w:tabs>
      <w:spacing w:after="60"/>
      <w:ind w:left="283"/>
    </w:pPr>
  </w:style>
  <w:style w:type="paragraph" w:customStyle="1" w:styleId="Source">
    <w:name w:val="Source"/>
    <w:basedOn w:val="Normal"/>
    <w:qFormat/>
    <w:rsid w:val="00667415"/>
    <w:pPr>
      <w:tabs>
        <w:tab w:val="left" w:pos="5529"/>
      </w:tabs>
    </w:pPr>
    <w:rPr>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ED9E90A52FD248AEB30753BCD8626C" ma:contentTypeVersion="1" ma:contentTypeDescription="Create a new document." ma:contentTypeScope="" ma:versionID="ec28e391791e0130a65393eb7864bda5">
  <xsd:schema xmlns:xsd="http://www.w3.org/2001/XMLSchema" xmlns:xs="http://www.w3.org/2001/XMLSchema" xmlns:p="http://schemas.microsoft.com/office/2006/metadata/properties" xmlns:ns2="c96edf7b-3cf7-4333-a919-b284436ff018" targetNamespace="http://schemas.microsoft.com/office/2006/metadata/properties" ma:root="true" ma:fieldsID="c9974875aa5abdfb9ad072b6790d35e6" ns2:_="">
    <xsd:import namespace="c96edf7b-3cf7-4333-a919-b284436ff01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edf7b-3cf7-4333-a919-b284436ff0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DF550-891D-4E42-8FB0-21642A4CA313}">
  <ds:schemaRefs>
    <ds:schemaRef ds:uri="http://schemas.microsoft.com/sharepoint/v3/contenttype/forms"/>
  </ds:schemaRefs>
</ds:datastoreItem>
</file>

<file path=customXml/itemProps2.xml><?xml version="1.0" encoding="utf-8"?>
<ds:datastoreItem xmlns:ds="http://schemas.openxmlformats.org/officeDocument/2006/customXml" ds:itemID="{AA155B19-05A5-4424-821B-22DA23B7B9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6E78D1-F8D3-4DAE-9550-5E71148E6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edf7b-3cf7-4333-a919-b284436ff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4DF06-8CA3-42C4-BC7D-5B0FF46F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1565</Words>
  <Characters>8926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Community Engagement Action Plan 2020-2024</vt:lpstr>
    </vt:vector>
  </TitlesOfParts>
  <Company/>
  <LinksUpToDate>false</LinksUpToDate>
  <CharactersWithSpaces>10471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Engagement Action Plan 2020-2024</dc:title>
  <dc:creator>Avery, Nikki</dc:creator>
  <cp:lastModifiedBy>Thomas, Natalie</cp:lastModifiedBy>
  <cp:revision>2</cp:revision>
  <cp:lastPrinted>2018-08-08T05:01:00Z</cp:lastPrinted>
  <dcterms:created xsi:type="dcterms:W3CDTF">2020-05-21T00:44:00Z</dcterms:created>
  <dcterms:modified xsi:type="dcterms:W3CDTF">2020-05-21T00:44:00Z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0x01010094ED9E90A52FD248AEB30753BCD8626C</vt:lpwstr>
  </property>
</Properties>
</file>